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6F671">
      <w:pPr>
        <w:spacing w:line="240" w:lineRule="auto"/>
        <w:rPr>
          <w:b/>
          <w:bCs/>
        </w:rPr>
      </w:pPr>
      <w:bookmarkStart w:id="1" w:name="_GoBack"/>
      <w:bookmarkEnd w:id="1"/>
      <w:r>
        <w:rPr>
          <w:b/>
          <w:bCs/>
        </w:rPr>
        <w:t>DJEČJI VRTIĆ BUBAMARA</w:t>
      </w:r>
    </w:p>
    <w:p w14:paraId="38CF4352">
      <w:pPr>
        <w:spacing w:line="240" w:lineRule="auto"/>
        <w:rPr>
          <w:b/>
          <w:bCs/>
        </w:rPr>
      </w:pPr>
      <w:r>
        <w:rPr>
          <w:b/>
          <w:bCs/>
        </w:rPr>
        <w:t>MB: 01415271            OIB: 48194684232</w:t>
      </w:r>
    </w:p>
    <w:p w14:paraId="1AEB0FF1">
      <w:pPr>
        <w:spacing w:line="240" w:lineRule="auto"/>
        <w:rPr>
          <w:b/>
          <w:bCs/>
        </w:rPr>
      </w:pPr>
      <w:r>
        <w:rPr>
          <w:b/>
          <w:bCs/>
        </w:rPr>
        <w:t>KALINOVAC, Kolodvorska 119A</w:t>
      </w:r>
    </w:p>
    <w:p w14:paraId="2E05F798">
      <w:pPr>
        <w:spacing w:line="240" w:lineRule="auto"/>
        <w:rPr>
          <w:b/>
          <w:bCs/>
        </w:rPr>
      </w:pPr>
      <w:r>
        <w:rPr>
          <w:b/>
          <w:bCs/>
        </w:rPr>
        <w:t>Razina 21,                     Razdjel: 000</w:t>
      </w:r>
    </w:p>
    <w:p w14:paraId="296C724A">
      <w:pPr>
        <w:spacing w:line="240" w:lineRule="auto"/>
        <w:rPr>
          <w:b/>
          <w:bCs/>
        </w:rPr>
      </w:pPr>
      <w:r>
        <w:rPr>
          <w:b/>
          <w:bCs/>
        </w:rPr>
        <w:t>Djelatnost: 8510 predškolsko obrazovanje</w:t>
      </w:r>
    </w:p>
    <w:p w14:paraId="22185BEB">
      <w:pPr>
        <w:spacing w:after="0" w:line="240" w:lineRule="auto"/>
      </w:pPr>
    </w:p>
    <w:p w14:paraId="005A0D5B">
      <w:pPr>
        <w:spacing w:after="0" w:line="240" w:lineRule="auto"/>
        <w:jc w:val="center"/>
        <w:rPr>
          <w:b/>
          <w:bCs/>
          <w:sz w:val="28"/>
          <w:szCs w:val="28"/>
        </w:rPr>
      </w:pPr>
      <w:r>
        <w:rPr>
          <w:b/>
          <w:bCs/>
          <w:sz w:val="28"/>
          <w:szCs w:val="28"/>
        </w:rPr>
        <w:t xml:space="preserve">OBRAZLOŽENJE GODIŠNJEG IZVJEŠTAJA O IZVRŠENJU FINANCIJSKOG </w:t>
      </w:r>
    </w:p>
    <w:p w14:paraId="500EE01A">
      <w:pPr>
        <w:spacing w:after="0" w:line="240" w:lineRule="auto"/>
        <w:jc w:val="center"/>
        <w:rPr>
          <w:b/>
          <w:bCs/>
          <w:sz w:val="28"/>
          <w:szCs w:val="28"/>
        </w:rPr>
      </w:pPr>
      <w:r>
        <w:rPr>
          <w:b/>
          <w:bCs/>
          <w:sz w:val="28"/>
          <w:szCs w:val="28"/>
        </w:rPr>
        <w:t xml:space="preserve">PLANA DJEČJEG VRTIĆA BUBAMARA KALINOVAC </w:t>
      </w:r>
    </w:p>
    <w:p w14:paraId="73AE1E45">
      <w:pPr>
        <w:spacing w:after="0" w:line="240" w:lineRule="auto"/>
        <w:jc w:val="center"/>
        <w:rPr>
          <w:b/>
          <w:bCs/>
          <w:sz w:val="28"/>
          <w:szCs w:val="28"/>
        </w:rPr>
      </w:pPr>
      <w:r>
        <w:rPr>
          <w:b/>
          <w:bCs/>
          <w:sz w:val="28"/>
          <w:szCs w:val="28"/>
        </w:rPr>
        <w:t>ZA RAZDOBLJE OD 01. SIJEČNJA DO 31. PROSINCA 2025. GODINE</w:t>
      </w:r>
    </w:p>
    <w:p w14:paraId="28749320"/>
    <w:p w14:paraId="0FDA857E">
      <w:pPr>
        <w:rPr>
          <w:b/>
          <w:bCs/>
        </w:rPr>
      </w:pPr>
      <w:r>
        <w:rPr>
          <w:b/>
          <w:bCs/>
        </w:rPr>
        <w:t>1) Opći podaci</w:t>
      </w:r>
    </w:p>
    <w:p w14:paraId="4E4AC4A4">
      <w:r>
        <w:t>Dječji vrtić Bubamara Kalinovac proračunski je korisnik Općine Kalinovac. Odlukom Općinskog vijeća roditelji djece s područja Općine Kalinovac koja su polaznici 10-satnog programa, oslobođeni su plaćanja boravka djece u dječjem vrtiću.</w:t>
      </w:r>
    </w:p>
    <w:p w14:paraId="7EF973C3">
      <w:r>
        <w:t>U vrtiću radi do 8 zaposlenica na neodređeno vrijeme – puno radno vrijeme i dvije zaposlenica na određeno vrijeme – puno radno vrijeme te dvije djelatnice na neodređeno vrijeme – nepuno radno vrijeme.</w:t>
      </w:r>
    </w:p>
    <w:p w14:paraId="58E73CC2">
      <w:r>
        <w:t>Polaznici vrtića smješteni su u tri odgojno – obrazovne skupine: jedna mješovita jaslička, za djecu od  1 do 3 godine, te dvije mješovite vrtićke za djecu od 3 do 7 godina starosti. Rad vrtića organiziran je u vremenu od 6 – 16 sati u pet radnih dana u tjednu.</w:t>
      </w:r>
    </w:p>
    <w:p w14:paraId="2B6B3538">
      <w:r>
        <w:t xml:space="preserve">U vrtiću je organiziran i rad pred škole za djecu koja nisu obuhvaćena redovnim programom vrtića. Program pred škole besplatan je za roditelje. </w:t>
      </w:r>
    </w:p>
    <w:p w14:paraId="7BA06BC6">
      <w:pPr>
        <w:rPr>
          <w:b/>
          <w:bCs/>
        </w:rPr>
      </w:pPr>
      <w:r>
        <w:rPr>
          <w:b/>
          <w:bCs/>
        </w:rPr>
        <w:t>2) Obrazloženje OPĆEG DIJELA</w:t>
      </w:r>
    </w:p>
    <w:p w14:paraId="2565D541">
      <w:r>
        <w:t>Račun prihoda i rashoda daje prikaz ukupnih prihoda i primitaka, te rashoda i izdataka na razini ekonomske klasifikacije, kao i višak/manjak prihoda, gdje je u razdoblju od 01. siječnja 2025. godine do 31. prosinca 2025. godine ostvaren manjak u iznosu od 16.179,20 eura.</w:t>
      </w:r>
    </w:p>
    <w:p w14:paraId="22D86470">
      <w:r>
        <w:t>Prihodi poslovanja izvršeni su u iznosu od 324.866,20 eura.</w:t>
      </w:r>
    </w:p>
    <w:p w14:paraId="229D79A7">
      <w:pPr>
        <w:rPr>
          <w:b/>
          <w:bCs/>
        </w:rPr>
      </w:pPr>
      <w:r>
        <w:rPr>
          <w:b/>
          <w:bCs/>
        </w:rPr>
        <w:t>Prihodi poslovanja: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3194"/>
        <w:gridCol w:w="1809"/>
        <w:gridCol w:w="1810"/>
        <w:gridCol w:w="1809"/>
      </w:tblGrid>
      <w:tr w14:paraId="22F1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66504421">
            <w:pPr>
              <w:spacing w:after="0" w:line="240" w:lineRule="auto"/>
            </w:pPr>
          </w:p>
        </w:tc>
        <w:tc>
          <w:tcPr>
            <w:tcW w:w="3194" w:type="dxa"/>
          </w:tcPr>
          <w:p w14:paraId="30528A3E">
            <w:pPr>
              <w:spacing w:after="0" w:line="240" w:lineRule="auto"/>
            </w:pPr>
          </w:p>
        </w:tc>
        <w:tc>
          <w:tcPr>
            <w:tcW w:w="1809" w:type="dxa"/>
          </w:tcPr>
          <w:p w14:paraId="698E47B5">
            <w:pPr>
              <w:spacing w:after="0" w:line="240" w:lineRule="auto"/>
              <w:jc w:val="center"/>
              <w:rPr>
                <w:b/>
                <w:bCs/>
              </w:rPr>
            </w:pPr>
            <w:r>
              <w:rPr>
                <w:b/>
                <w:bCs/>
              </w:rPr>
              <w:t>2024.g.</w:t>
            </w:r>
          </w:p>
        </w:tc>
        <w:tc>
          <w:tcPr>
            <w:tcW w:w="1810" w:type="dxa"/>
          </w:tcPr>
          <w:p w14:paraId="1261ED22">
            <w:pPr>
              <w:spacing w:after="0" w:line="240" w:lineRule="auto"/>
              <w:jc w:val="center"/>
              <w:rPr>
                <w:b/>
                <w:bCs/>
              </w:rPr>
            </w:pPr>
            <w:r>
              <w:rPr>
                <w:b/>
                <w:bCs/>
              </w:rPr>
              <w:t>2025.g.</w:t>
            </w:r>
          </w:p>
        </w:tc>
        <w:tc>
          <w:tcPr>
            <w:tcW w:w="1809" w:type="dxa"/>
          </w:tcPr>
          <w:p w14:paraId="51D2E6ED">
            <w:pPr>
              <w:spacing w:after="0" w:line="240" w:lineRule="auto"/>
              <w:jc w:val="center"/>
              <w:rPr>
                <w:b/>
                <w:bCs/>
              </w:rPr>
            </w:pPr>
            <w:r>
              <w:rPr>
                <w:b/>
                <w:bCs/>
              </w:rPr>
              <w:t>Razlika (</w:t>
            </w:r>
            <w:r>
              <w:rPr>
                <w:rFonts w:cstheme="minorHAnsi"/>
                <w:b/>
                <w:bCs/>
              </w:rPr>
              <w:t>€</w:t>
            </w:r>
            <w:r>
              <w:rPr>
                <w:b/>
                <w:bCs/>
              </w:rPr>
              <w:t>)</w:t>
            </w:r>
          </w:p>
        </w:tc>
      </w:tr>
      <w:tr w14:paraId="3891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353A5044">
            <w:pPr>
              <w:spacing w:after="0" w:line="240" w:lineRule="auto"/>
            </w:pPr>
            <w:r>
              <w:t>63</w:t>
            </w:r>
          </w:p>
        </w:tc>
        <w:tc>
          <w:tcPr>
            <w:tcW w:w="3194" w:type="dxa"/>
          </w:tcPr>
          <w:p w14:paraId="1926196C">
            <w:pPr>
              <w:spacing w:after="0" w:line="240" w:lineRule="auto"/>
            </w:pPr>
            <w:r>
              <w:t>Tekuće pomoći iz proračuna – rad pred škole</w:t>
            </w:r>
          </w:p>
        </w:tc>
        <w:tc>
          <w:tcPr>
            <w:tcW w:w="1809" w:type="dxa"/>
          </w:tcPr>
          <w:p w14:paraId="65A9FA1B">
            <w:pPr>
              <w:spacing w:after="0" w:line="240" w:lineRule="auto"/>
              <w:jc w:val="right"/>
            </w:pPr>
            <w:r>
              <w:t>345,60</w:t>
            </w:r>
          </w:p>
        </w:tc>
        <w:tc>
          <w:tcPr>
            <w:tcW w:w="1810" w:type="dxa"/>
          </w:tcPr>
          <w:p w14:paraId="44ECCEA7">
            <w:pPr>
              <w:spacing w:after="0" w:line="240" w:lineRule="auto"/>
              <w:jc w:val="right"/>
            </w:pPr>
            <w:r>
              <w:t>403,20</w:t>
            </w:r>
          </w:p>
        </w:tc>
        <w:tc>
          <w:tcPr>
            <w:tcW w:w="1809" w:type="dxa"/>
          </w:tcPr>
          <w:p w14:paraId="4BC0A546">
            <w:pPr>
              <w:spacing w:after="0" w:line="240" w:lineRule="auto"/>
              <w:jc w:val="right"/>
            </w:pPr>
            <w:r>
              <w:t>57,60</w:t>
            </w:r>
          </w:p>
        </w:tc>
      </w:tr>
      <w:tr w14:paraId="15BC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7D4316F5">
            <w:pPr>
              <w:spacing w:after="0" w:line="240" w:lineRule="auto"/>
            </w:pPr>
            <w:r>
              <w:t>65</w:t>
            </w:r>
          </w:p>
        </w:tc>
        <w:tc>
          <w:tcPr>
            <w:tcW w:w="3194" w:type="dxa"/>
          </w:tcPr>
          <w:p w14:paraId="11D4A40D">
            <w:pPr>
              <w:spacing w:after="0" w:line="240" w:lineRule="auto"/>
            </w:pPr>
            <w:r>
              <w:t>Ostali nespomenuti prihodi</w:t>
            </w:r>
          </w:p>
        </w:tc>
        <w:tc>
          <w:tcPr>
            <w:tcW w:w="1809" w:type="dxa"/>
          </w:tcPr>
          <w:p w14:paraId="25A641B1">
            <w:pPr>
              <w:spacing w:after="0" w:line="240" w:lineRule="auto"/>
              <w:jc w:val="right"/>
            </w:pPr>
            <w:r>
              <w:t>3.086,27</w:t>
            </w:r>
          </w:p>
        </w:tc>
        <w:tc>
          <w:tcPr>
            <w:tcW w:w="1810" w:type="dxa"/>
          </w:tcPr>
          <w:p w14:paraId="7632FB43">
            <w:pPr>
              <w:spacing w:after="0" w:line="240" w:lineRule="auto"/>
              <w:jc w:val="right"/>
            </w:pPr>
            <w:r>
              <w:t>3.966,45</w:t>
            </w:r>
          </w:p>
        </w:tc>
        <w:tc>
          <w:tcPr>
            <w:tcW w:w="1809" w:type="dxa"/>
          </w:tcPr>
          <w:p w14:paraId="1CDE42FC">
            <w:pPr>
              <w:spacing w:after="0" w:line="240" w:lineRule="auto"/>
              <w:jc w:val="right"/>
            </w:pPr>
            <w:r>
              <w:t>880,18</w:t>
            </w:r>
          </w:p>
        </w:tc>
      </w:tr>
      <w:tr w14:paraId="5B8B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7A87D818">
            <w:pPr>
              <w:spacing w:after="0" w:line="240" w:lineRule="auto"/>
            </w:pPr>
            <w:r>
              <w:t>67</w:t>
            </w:r>
          </w:p>
        </w:tc>
        <w:tc>
          <w:tcPr>
            <w:tcW w:w="3194" w:type="dxa"/>
          </w:tcPr>
          <w:p w14:paraId="4879FECA">
            <w:pPr>
              <w:spacing w:after="0" w:line="240" w:lineRule="auto"/>
            </w:pPr>
            <w:r>
              <w:t>Prihodi iz nadležnog proračuna</w:t>
            </w:r>
          </w:p>
        </w:tc>
        <w:tc>
          <w:tcPr>
            <w:tcW w:w="1809" w:type="dxa"/>
          </w:tcPr>
          <w:p w14:paraId="0B305EC8">
            <w:pPr>
              <w:spacing w:after="0" w:line="240" w:lineRule="auto"/>
              <w:jc w:val="right"/>
            </w:pPr>
            <w:r>
              <w:t>246.520,14</w:t>
            </w:r>
          </w:p>
        </w:tc>
        <w:tc>
          <w:tcPr>
            <w:tcW w:w="1810" w:type="dxa"/>
          </w:tcPr>
          <w:p w14:paraId="59B0D880">
            <w:pPr>
              <w:spacing w:after="0" w:line="240" w:lineRule="auto"/>
              <w:jc w:val="right"/>
            </w:pPr>
            <w:r>
              <w:t>320.496,55</w:t>
            </w:r>
          </w:p>
        </w:tc>
        <w:tc>
          <w:tcPr>
            <w:tcW w:w="1809" w:type="dxa"/>
          </w:tcPr>
          <w:p w14:paraId="706E8907">
            <w:pPr>
              <w:spacing w:after="0" w:line="240" w:lineRule="auto"/>
              <w:jc w:val="right"/>
            </w:pPr>
            <w:r>
              <w:t>73.976,41</w:t>
            </w:r>
          </w:p>
        </w:tc>
      </w:tr>
      <w:tr w14:paraId="7F11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07538400">
            <w:pPr>
              <w:spacing w:after="0" w:line="240" w:lineRule="auto"/>
            </w:pPr>
          </w:p>
        </w:tc>
        <w:tc>
          <w:tcPr>
            <w:tcW w:w="3194" w:type="dxa"/>
          </w:tcPr>
          <w:p w14:paraId="29FBA827">
            <w:pPr>
              <w:spacing w:after="0" w:line="240" w:lineRule="auto"/>
              <w:rPr>
                <w:b/>
                <w:bCs/>
              </w:rPr>
            </w:pPr>
            <w:r>
              <w:rPr>
                <w:b/>
                <w:bCs/>
              </w:rPr>
              <w:t>UKUPNO PRIHODI:</w:t>
            </w:r>
          </w:p>
        </w:tc>
        <w:tc>
          <w:tcPr>
            <w:tcW w:w="1809" w:type="dxa"/>
          </w:tcPr>
          <w:p w14:paraId="366EA3D4">
            <w:pPr>
              <w:spacing w:after="0" w:line="240" w:lineRule="auto"/>
              <w:jc w:val="right"/>
              <w:rPr>
                <w:b/>
                <w:bCs/>
              </w:rPr>
            </w:pPr>
            <w:r>
              <w:rPr>
                <w:b/>
                <w:bCs/>
              </w:rPr>
              <w:t>249.952,01</w:t>
            </w:r>
          </w:p>
        </w:tc>
        <w:tc>
          <w:tcPr>
            <w:tcW w:w="1810" w:type="dxa"/>
          </w:tcPr>
          <w:p w14:paraId="4D8FD6AE">
            <w:pPr>
              <w:spacing w:after="0" w:line="240" w:lineRule="auto"/>
              <w:jc w:val="right"/>
              <w:rPr>
                <w:b/>
                <w:bCs/>
              </w:rPr>
            </w:pPr>
            <w:r>
              <w:rPr>
                <w:b/>
                <w:bCs/>
              </w:rPr>
              <w:t>324.866,20</w:t>
            </w:r>
          </w:p>
        </w:tc>
        <w:tc>
          <w:tcPr>
            <w:tcW w:w="1809" w:type="dxa"/>
          </w:tcPr>
          <w:p w14:paraId="222BA2CF">
            <w:pPr>
              <w:spacing w:after="0" w:line="240" w:lineRule="auto"/>
              <w:jc w:val="right"/>
              <w:rPr>
                <w:b/>
                <w:bCs/>
              </w:rPr>
            </w:pPr>
            <w:r>
              <w:rPr>
                <w:b/>
                <w:bCs/>
              </w:rPr>
              <w:t>74.914,19</w:t>
            </w:r>
          </w:p>
        </w:tc>
      </w:tr>
    </w:tbl>
    <w:p w14:paraId="462A1A17"/>
    <w:p w14:paraId="0D192975">
      <w:r>
        <w:t>Prihodi tekuće pomoći iz proračuna – rad pred škole (63) povećavaju se za 57,60 eura zbog povećanog broja polaznika pred škole u 2025. godini u odnosu na 2024. godinu.</w:t>
      </w:r>
    </w:p>
    <w:p w14:paraId="67B163E5">
      <w:r>
        <w:t>Ostali nespomenuti prihodi (65) veći su u 2025. godini u odnosu na 2024. godinu za 880,18 eura. Ovi prihodi su veći u odnosu na 2024. godinu zbog povećanja prihoda od uplate roditelja za likovni materijal.</w:t>
      </w:r>
    </w:p>
    <w:p w14:paraId="6C3F4ABC">
      <w:r>
        <w:t>Prihodi iz nadležnog proračuna (Općine Kalinovac) (67) veći su za 73.976,41 eura, a uplaćivani su prema potrebama i zahtjevima vrtića.</w:t>
      </w:r>
    </w:p>
    <w:p w14:paraId="4A4A6D74">
      <w:r>
        <w:t>Rashodi poslovanja izvršeni su u iznosu od 340.444,15 eura.</w:t>
      </w:r>
    </w:p>
    <w:p w14:paraId="0D6800E2">
      <w:pPr>
        <w:rPr>
          <w:b/>
          <w:bCs/>
        </w:rPr>
      </w:pPr>
      <w:r>
        <w:rPr>
          <w:b/>
          <w:bCs/>
        </w:rPr>
        <w:t>Rashodi poslovanja i rashodi za nabavu nefinancijske imovine:</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3193"/>
        <w:gridCol w:w="1809"/>
        <w:gridCol w:w="1810"/>
        <w:gridCol w:w="1810"/>
      </w:tblGrid>
      <w:tr w14:paraId="1E60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69A72E21">
            <w:pPr>
              <w:spacing w:after="0" w:line="240" w:lineRule="auto"/>
            </w:pPr>
          </w:p>
        </w:tc>
        <w:tc>
          <w:tcPr>
            <w:tcW w:w="3193" w:type="dxa"/>
          </w:tcPr>
          <w:p w14:paraId="4DA18965">
            <w:pPr>
              <w:spacing w:after="0" w:line="240" w:lineRule="auto"/>
            </w:pPr>
          </w:p>
        </w:tc>
        <w:tc>
          <w:tcPr>
            <w:tcW w:w="1809" w:type="dxa"/>
          </w:tcPr>
          <w:p w14:paraId="4920C6A0">
            <w:pPr>
              <w:spacing w:after="0" w:line="240" w:lineRule="auto"/>
              <w:jc w:val="center"/>
              <w:rPr>
                <w:b/>
                <w:bCs/>
              </w:rPr>
            </w:pPr>
            <w:r>
              <w:rPr>
                <w:b/>
                <w:bCs/>
              </w:rPr>
              <w:t>2024.g.</w:t>
            </w:r>
          </w:p>
        </w:tc>
        <w:tc>
          <w:tcPr>
            <w:tcW w:w="1810" w:type="dxa"/>
          </w:tcPr>
          <w:p w14:paraId="0970C74A">
            <w:pPr>
              <w:spacing w:after="0" w:line="240" w:lineRule="auto"/>
              <w:jc w:val="center"/>
              <w:rPr>
                <w:b/>
                <w:bCs/>
              </w:rPr>
            </w:pPr>
            <w:r>
              <w:rPr>
                <w:b/>
                <w:bCs/>
              </w:rPr>
              <w:t>2025.g.</w:t>
            </w:r>
          </w:p>
        </w:tc>
        <w:tc>
          <w:tcPr>
            <w:tcW w:w="1810" w:type="dxa"/>
          </w:tcPr>
          <w:p w14:paraId="469A0938">
            <w:pPr>
              <w:spacing w:after="0" w:line="240" w:lineRule="auto"/>
              <w:jc w:val="center"/>
              <w:rPr>
                <w:b/>
                <w:bCs/>
              </w:rPr>
            </w:pPr>
            <w:r>
              <w:rPr>
                <w:b/>
                <w:bCs/>
              </w:rPr>
              <w:t>Razlika (</w:t>
            </w:r>
            <w:r>
              <w:rPr>
                <w:rFonts w:cstheme="minorHAnsi"/>
                <w:b/>
                <w:bCs/>
              </w:rPr>
              <w:t>€</w:t>
            </w:r>
            <w:r>
              <w:rPr>
                <w:b/>
                <w:bCs/>
              </w:rPr>
              <w:t>)</w:t>
            </w:r>
          </w:p>
        </w:tc>
      </w:tr>
      <w:tr w14:paraId="101E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79A93BD1">
            <w:pPr>
              <w:spacing w:after="0" w:line="240" w:lineRule="auto"/>
            </w:pPr>
            <w:r>
              <w:t>31</w:t>
            </w:r>
          </w:p>
        </w:tc>
        <w:tc>
          <w:tcPr>
            <w:tcW w:w="3193" w:type="dxa"/>
          </w:tcPr>
          <w:p w14:paraId="6C68C58C">
            <w:pPr>
              <w:spacing w:after="0" w:line="240" w:lineRule="auto"/>
            </w:pPr>
            <w:r>
              <w:t>Rashodi za zaposlene</w:t>
            </w:r>
          </w:p>
        </w:tc>
        <w:tc>
          <w:tcPr>
            <w:tcW w:w="1809" w:type="dxa"/>
          </w:tcPr>
          <w:p w14:paraId="0A6F792F">
            <w:pPr>
              <w:spacing w:after="0" w:line="240" w:lineRule="auto"/>
              <w:jc w:val="right"/>
            </w:pPr>
            <w:r>
              <w:t>200.747,52</w:t>
            </w:r>
          </w:p>
        </w:tc>
        <w:tc>
          <w:tcPr>
            <w:tcW w:w="1810" w:type="dxa"/>
          </w:tcPr>
          <w:p w14:paraId="7188B426">
            <w:pPr>
              <w:spacing w:after="0" w:line="240" w:lineRule="auto"/>
              <w:jc w:val="right"/>
            </w:pPr>
            <w:r>
              <w:t>291.073,02</w:t>
            </w:r>
          </w:p>
        </w:tc>
        <w:tc>
          <w:tcPr>
            <w:tcW w:w="1810" w:type="dxa"/>
          </w:tcPr>
          <w:p w14:paraId="2473F8DD">
            <w:pPr>
              <w:spacing w:after="0" w:line="240" w:lineRule="auto"/>
              <w:jc w:val="right"/>
            </w:pPr>
            <w:r>
              <w:t>90.325,50</w:t>
            </w:r>
          </w:p>
        </w:tc>
      </w:tr>
      <w:tr w14:paraId="649B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0DBE26B9">
            <w:pPr>
              <w:spacing w:after="0" w:line="240" w:lineRule="auto"/>
            </w:pPr>
            <w:r>
              <w:t>32</w:t>
            </w:r>
          </w:p>
        </w:tc>
        <w:tc>
          <w:tcPr>
            <w:tcW w:w="3193" w:type="dxa"/>
          </w:tcPr>
          <w:p w14:paraId="52E02E8B">
            <w:pPr>
              <w:spacing w:after="0" w:line="240" w:lineRule="auto"/>
            </w:pPr>
            <w:r>
              <w:t>Materijalni rashodi</w:t>
            </w:r>
          </w:p>
        </w:tc>
        <w:tc>
          <w:tcPr>
            <w:tcW w:w="1809" w:type="dxa"/>
          </w:tcPr>
          <w:p w14:paraId="7D667232">
            <w:pPr>
              <w:spacing w:after="0" w:line="240" w:lineRule="auto"/>
              <w:jc w:val="right"/>
            </w:pPr>
            <w:r>
              <w:t>46.399,70</w:t>
            </w:r>
          </w:p>
        </w:tc>
        <w:tc>
          <w:tcPr>
            <w:tcW w:w="1810" w:type="dxa"/>
          </w:tcPr>
          <w:p w14:paraId="5E37D0FD">
            <w:pPr>
              <w:spacing w:after="0" w:line="240" w:lineRule="auto"/>
              <w:jc w:val="right"/>
            </w:pPr>
            <w:r>
              <w:t>49.034,34</w:t>
            </w:r>
          </w:p>
        </w:tc>
        <w:tc>
          <w:tcPr>
            <w:tcW w:w="1810" w:type="dxa"/>
          </w:tcPr>
          <w:p w14:paraId="1E59583F">
            <w:pPr>
              <w:spacing w:after="0" w:line="240" w:lineRule="auto"/>
              <w:jc w:val="right"/>
            </w:pPr>
            <w:r>
              <w:t>2.634,64</w:t>
            </w:r>
          </w:p>
        </w:tc>
      </w:tr>
      <w:tr w14:paraId="1FC8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318CE011">
            <w:pPr>
              <w:spacing w:after="0" w:line="240" w:lineRule="auto"/>
            </w:pPr>
            <w:r>
              <w:t>34</w:t>
            </w:r>
          </w:p>
        </w:tc>
        <w:tc>
          <w:tcPr>
            <w:tcW w:w="3193" w:type="dxa"/>
          </w:tcPr>
          <w:p w14:paraId="047CAA85">
            <w:pPr>
              <w:spacing w:after="0" w:line="240" w:lineRule="auto"/>
            </w:pPr>
            <w:r>
              <w:t>Financijski rashodi – usluge platnog prometa</w:t>
            </w:r>
          </w:p>
        </w:tc>
        <w:tc>
          <w:tcPr>
            <w:tcW w:w="1809" w:type="dxa"/>
          </w:tcPr>
          <w:p w14:paraId="3DA66897">
            <w:pPr>
              <w:spacing w:after="0" w:line="240" w:lineRule="auto"/>
              <w:jc w:val="right"/>
            </w:pPr>
            <w:r>
              <w:t>696,65</w:t>
            </w:r>
          </w:p>
        </w:tc>
        <w:tc>
          <w:tcPr>
            <w:tcW w:w="1810" w:type="dxa"/>
          </w:tcPr>
          <w:p w14:paraId="34072C24">
            <w:pPr>
              <w:spacing w:after="0" w:line="240" w:lineRule="auto"/>
              <w:jc w:val="right"/>
            </w:pPr>
            <w:r>
              <w:t>336,79</w:t>
            </w:r>
          </w:p>
        </w:tc>
        <w:tc>
          <w:tcPr>
            <w:tcW w:w="1810" w:type="dxa"/>
          </w:tcPr>
          <w:p w14:paraId="12353F44">
            <w:pPr>
              <w:spacing w:after="0" w:line="240" w:lineRule="auto"/>
              <w:jc w:val="right"/>
            </w:pPr>
            <w:r>
              <w:t>-359,86</w:t>
            </w:r>
          </w:p>
        </w:tc>
      </w:tr>
      <w:tr w14:paraId="595A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0" w:type="dxa"/>
          </w:tcPr>
          <w:p w14:paraId="256D07FA">
            <w:pPr>
              <w:spacing w:after="0" w:line="240" w:lineRule="auto"/>
            </w:pPr>
            <w:r>
              <w:t>42</w:t>
            </w:r>
          </w:p>
        </w:tc>
        <w:tc>
          <w:tcPr>
            <w:tcW w:w="3193" w:type="dxa"/>
          </w:tcPr>
          <w:p w14:paraId="62D7B79E">
            <w:pPr>
              <w:spacing w:after="0" w:line="240" w:lineRule="auto"/>
            </w:pPr>
            <w:r>
              <w:t>Rashodi za nabavu proizvedene dugotrajne imovine</w:t>
            </w:r>
          </w:p>
        </w:tc>
        <w:tc>
          <w:tcPr>
            <w:tcW w:w="1809" w:type="dxa"/>
          </w:tcPr>
          <w:p w14:paraId="08AC1247">
            <w:pPr>
              <w:spacing w:after="0" w:line="240" w:lineRule="auto"/>
              <w:jc w:val="right"/>
            </w:pPr>
            <w:r>
              <w:t>3.970,00</w:t>
            </w:r>
          </w:p>
        </w:tc>
        <w:tc>
          <w:tcPr>
            <w:tcW w:w="1810" w:type="dxa"/>
          </w:tcPr>
          <w:p w14:paraId="4C45D428">
            <w:pPr>
              <w:spacing w:after="0" w:line="240" w:lineRule="auto"/>
              <w:jc w:val="right"/>
            </w:pPr>
            <w:r>
              <w:t>601,25</w:t>
            </w:r>
          </w:p>
        </w:tc>
        <w:tc>
          <w:tcPr>
            <w:tcW w:w="1810" w:type="dxa"/>
          </w:tcPr>
          <w:p w14:paraId="2DE8DC5F">
            <w:pPr>
              <w:spacing w:after="0" w:line="240" w:lineRule="auto"/>
              <w:jc w:val="right"/>
            </w:pPr>
            <w:r>
              <w:t>-3.368,75</w:t>
            </w:r>
          </w:p>
        </w:tc>
      </w:tr>
      <w:tr w14:paraId="6622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14:paraId="76684C0A">
            <w:pPr>
              <w:spacing w:after="0" w:line="240" w:lineRule="auto"/>
            </w:pPr>
          </w:p>
        </w:tc>
        <w:tc>
          <w:tcPr>
            <w:tcW w:w="3193" w:type="dxa"/>
          </w:tcPr>
          <w:p w14:paraId="1A3A25F4">
            <w:pPr>
              <w:spacing w:after="0" w:line="240" w:lineRule="auto"/>
              <w:rPr>
                <w:b/>
                <w:bCs/>
              </w:rPr>
            </w:pPr>
            <w:r>
              <w:rPr>
                <w:b/>
                <w:bCs/>
              </w:rPr>
              <w:t>UKUPNO RASHODI:</w:t>
            </w:r>
          </w:p>
        </w:tc>
        <w:tc>
          <w:tcPr>
            <w:tcW w:w="1809" w:type="dxa"/>
          </w:tcPr>
          <w:p w14:paraId="43CEC11B">
            <w:pPr>
              <w:spacing w:after="0" w:line="240" w:lineRule="auto"/>
              <w:jc w:val="right"/>
              <w:rPr>
                <w:b/>
                <w:bCs/>
              </w:rPr>
            </w:pPr>
            <w:r>
              <w:rPr>
                <w:b/>
                <w:bCs/>
              </w:rPr>
              <w:t>251.813,87</w:t>
            </w:r>
          </w:p>
        </w:tc>
        <w:tc>
          <w:tcPr>
            <w:tcW w:w="1810" w:type="dxa"/>
          </w:tcPr>
          <w:p w14:paraId="6DD2FCE0">
            <w:pPr>
              <w:spacing w:after="0" w:line="240" w:lineRule="auto"/>
              <w:jc w:val="right"/>
              <w:rPr>
                <w:b/>
                <w:bCs/>
              </w:rPr>
            </w:pPr>
            <w:r>
              <w:rPr>
                <w:b/>
                <w:bCs/>
              </w:rPr>
              <w:t>341.045,40</w:t>
            </w:r>
          </w:p>
        </w:tc>
        <w:tc>
          <w:tcPr>
            <w:tcW w:w="1810" w:type="dxa"/>
          </w:tcPr>
          <w:p w14:paraId="523C15EF">
            <w:pPr>
              <w:spacing w:after="0" w:line="240" w:lineRule="auto"/>
              <w:jc w:val="right"/>
              <w:rPr>
                <w:b/>
                <w:bCs/>
              </w:rPr>
            </w:pPr>
            <w:r>
              <w:rPr>
                <w:b/>
                <w:bCs/>
              </w:rPr>
              <w:t>89.231,53</w:t>
            </w:r>
          </w:p>
        </w:tc>
      </w:tr>
    </w:tbl>
    <w:p w14:paraId="646B09D3"/>
    <w:p w14:paraId="309A0CB5">
      <w:pPr>
        <w:rPr>
          <w:b/>
          <w:bCs/>
        </w:rPr>
      </w:pPr>
      <w:r>
        <w:rPr>
          <w:b/>
          <w:bCs/>
        </w:rPr>
        <w:t>Obrazloženje razlika između 2024. i 2025. godine</w:t>
      </w:r>
    </w:p>
    <w:p w14:paraId="5F9D1F68">
      <w:r>
        <w:t>Od siječnja 2025. godine povećali su se koeficijenti za obračun plaća djelatnika te su se stoga povećale plaće za zaposlene s pripadajućim doprinosima. Tokom izvještajne godine vratila se jedna djelatnica sa porodiljnog dopusta. U 2024. godini isplaćivan je regres, božićnica, prekovremeni rad, trošak prehrane.</w:t>
      </w:r>
    </w:p>
    <w:p w14:paraId="6C902EC1">
      <w:r>
        <w:t>Materijalni rashodi su uvećani za 2.634,64 eura, a najveći razlog ovom povećanju su rashodi za energiju, zdravstvene i veterinarske usluge te intelektualne i osobne usluge. Rashodi za energiju odnose se na rashode za električnu energiju i plin. Rashodi za zdravstvene i veterinarske usluge odnose se na zdravstvene preglede, mikrobiološke pretrage i analize, uzorkovanja vode, izradu elaborata. Rashodi za intelektualne i osobne usluge odnose se na ugovore o djelu.</w:t>
      </w:r>
    </w:p>
    <w:p w14:paraId="15177343">
      <w:r>
        <w:t>Financijski rashodi odnose se na rashode bankarskih usluga i usluga platnog prometa.</w:t>
      </w:r>
    </w:p>
    <w:p w14:paraId="28456DB4">
      <w:pPr>
        <w:rPr>
          <w:b/>
          <w:bCs/>
        </w:rPr>
      </w:pPr>
      <w:r>
        <w:rPr>
          <w:b/>
          <w:bCs/>
        </w:rPr>
        <w:t>U 2025. godini ostvareni su:</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1"/>
        <w:gridCol w:w="4531"/>
      </w:tblGrid>
      <w:tr w14:paraId="0E45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286BBEFD">
            <w:pPr>
              <w:spacing w:after="0" w:line="240" w:lineRule="auto"/>
            </w:pPr>
            <w:r>
              <w:t>Ukupni primici</w:t>
            </w:r>
          </w:p>
        </w:tc>
        <w:tc>
          <w:tcPr>
            <w:tcW w:w="4531" w:type="dxa"/>
          </w:tcPr>
          <w:p w14:paraId="488AC21B">
            <w:pPr>
              <w:spacing w:after="0" w:line="240" w:lineRule="auto"/>
              <w:jc w:val="right"/>
            </w:pPr>
            <w:r>
              <w:t xml:space="preserve">324.866,20 </w:t>
            </w:r>
            <w:r>
              <w:rPr>
                <w:rFonts w:cstheme="minorHAnsi"/>
              </w:rPr>
              <w:t>€</w:t>
            </w:r>
          </w:p>
        </w:tc>
      </w:tr>
      <w:tr w14:paraId="24B9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17F183C7">
            <w:pPr>
              <w:spacing w:after="0" w:line="240" w:lineRule="auto"/>
            </w:pPr>
            <w:r>
              <w:t>Ukupni izdaci</w:t>
            </w:r>
          </w:p>
        </w:tc>
        <w:tc>
          <w:tcPr>
            <w:tcW w:w="4531" w:type="dxa"/>
          </w:tcPr>
          <w:p w14:paraId="275937AB">
            <w:pPr>
              <w:spacing w:after="0" w:line="240" w:lineRule="auto"/>
              <w:jc w:val="right"/>
            </w:pPr>
            <w:r>
              <w:t xml:space="preserve">341.045,40 </w:t>
            </w:r>
            <w:r>
              <w:rPr>
                <w:rFonts w:cstheme="minorHAnsi"/>
              </w:rPr>
              <w:t>€</w:t>
            </w:r>
          </w:p>
        </w:tc>
      </w:tr>
      <w:tr w14:paraId="5956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79C3134B">
            <w:pPr>
              <w:spacing w:after="0" w:line="240" w:lineRule="auto"/>
            </w:pPr>
            <w:r>
              <w:t>Manjak prihoda i primitaka</w:t>
            </w:r>
          </w:p>
        </w:tc>
        <w:tc>
          <w:tcPr>
            <w:tcW w:w="4531" w:type="dxa"/>
          </w:tcPr>
          <w:p w14:paraId="4BC82C3E">
            <w:pPr>
              <w:spacing w:after="0" w:line="240" w:lineRule="auto"/>
              <w:jc w:val="right"/>
            </w:pPr>
            <w:r>
              <w:t xml:space="preserve">16.179,20 </w:t>
            </w:r>
            <w:r>
              <w:rPr>
                <w:rFonts w:cstheme="minorHAnsi"/>
              </w:rPr>
              <w:t>€</w:t>
            </w:r>
          </w:p>
        </w:tc>
      </w:tr>
      <w:tr w14:paraId="49E8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564CF6AA">
            <w:pPr>
              <w:spacing w:after="0" w:line="240" w:lineRule="auto"/>
            </w:pPr>
            <w:r>
              <w:t>Preneseni višak iz 2024. g.</w:t>
            </w:r>
          </w:p>
        </w:tc>
        <w:tc>
          <w:tcPr>
            <w:tcW w:w="4531" w:type="dxa"/>
          </w:tcPr>
          <w:p w14:paraId="619FC8D3">
            <w:pPr>
              <w:spacing w:after="0" w:line="240" w:lineRule="auto"/>
              <w:jc w:val="right"/>
            </w:pPr>
            <w:r>
              <w:t xml:space="preserve">6.090,04 </w:t>
            </w:r>
            <w:r>
              <w:rPr>
                <w:rFonts w:cstheme="minorHAnsi"/>
              </w:rPr>
              <w:t>€</w:t>
            </w:r>
          </w:p>
        </w:tc>
      </w:tr>
      <w:tr w14:paraId="728D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69C02D1B">
            <w:pPr>
              <w:spacing w:after="0" w:line="240" w:lineRule="auto"/>
            </w:pPr>
            <w:r>
              <w:t>Višak prihoda i primitaka raspoloživ u sljedećem razdoblju iznosi:</w:t>
            </w:r>
          </w:p>
        </w:tc>
        <w:tc>
          <w:tcPr>
            <w:tcW w:w="4531" w:type="dxa"/>
          </w:tcPr>
          <w:p w14:paraId="0C8F5A73">
            <w:pPr>
              <w:spacing w:after="0" w:line="240" w:lineRule="auto"/>
              <w:jc w:val="right"/>
            </w:pPr>
            <w:r>
              <w:t xml:space="preserve">10.089,16 </w:t>
            </w:r>
            <w:r>
              <w:rPr>
                <w:rFonts w:cstheme="minorHAnsi"/>
              </w:rPr>
              <w:t>€</w:t>
            </w:r>
          </w:p>
        </w:tc>
      </w:tr>
    </w:tbl>
    <w:p w14:paraId="52B30B7C"/>
    <w:p w14:paraId="1EDFCFAD">
      <w:pPr>
        <w:rPr>
          <w:rFonts w:cstheme="minorHAnsi"/>
        </w:rPr>
      </w:pPr>
      <w:r>
        <w:rPr>
          <w:rFonts w:cstheme="minorHAnsi"/>
        </w:rPr>
        <w:t xml:space="preserve">Za izvršenje rashoda planirani su izvori financiranja koje čine prihodi iz kojih se podmiruju rashodi određene vrste i namjene, a prikazani su u tablici Prihodi i rashodi prema izvorima financiranja za razdoblje od 01. siječnja 2025. godine do 31. prosinca 2025. godine. </w:t>
      </w:r>
    </w:p>
    <w:p w14:paraId="0B2EE529">
      <w:pPr>
        <w:rPr>
          <w:rFonts w:cstheme="minorHAnsi"/>
        </w:rPr>
      </w:pPr>
    </w:p>
    <w:p w14:paraId="211A0A0C">
      <w:pPr>
        <w:rPr>
          <w:rFonts w:cstheme="minorHAnsi"/>
        </w:rPr>
      </w:pPr>
      <w:r>
        <w:rPr>
          <w:rFonts w:cstheme="minorHAnsi"/>
        </w:rPr>
        <w:t>Rashodi prema funkcijskoj klasifikaciji 091 Predškolsko i osnovno obrazovanje, izvršeni su u razdoblju od 01. siječnja 2025. godine do 31. prosinca 2025. godine u iznosu od 341.045,40 eura.</w:t>
      </w:r>
    </w:p>
    <w:p w14:paraId="75AE9BF9">
      <w:pPr>
        <w:rPr>
          <w:rFonts w:cstheme="minorHAnsi"/>
          <w:b/>
          <w:bCs/>
        </w:rPr>
      </w:pPr>
      <w:r>
        <w:rPr>
          <w:rFonts w:cstheme="minorHAnsi"/>
          <w:b/>
          <w:bCs/>
        </w:rPr>
        <w:t>3) Obrazloženje POSEBNOG DIJELA</w:t>
      </w:r>
    </w:p>
    <w:p w14:paraId="116783B3">
      <w:pPr>
        <w:rPr>
          <w:rFonts w:cstheme="minorHAnsi"/>
        </w:rPr>
      </w:pPr>
      <w:r>
        <w:rPr>
          <w:rFonts w:cstheme="minorHAnsi"/>
        </w:rPr>
        <w:t xml:space="preserve">U posebnom dijelu Godišnjeg izvješća o izvršenju financijskog plana za razdoblje od 01. siječnja 2025. do 31. prosinca 2025. godine prikazano je izvršenje rashoda i izdataka prema programskoj klasifikaciji. </w:t>
      </w:r>
    </w:p>
    <w:p w14:paraId="4B341CFA">
      <w:pPr>
        <w:rPr>
          <w:rFonts w:cstheme="minorHAnsi"/>
        </w:rPr>
      </w:pPr>
      <w:r>
        <w:rPr>
          <w:rFonts w:cstheme="minorHAnsi"/>
        </w:rPr>
        <w:t>Rashodi i izdaci prema programskoj klasifikaciji izvršeni su u ukupnom iznosu od 341.045,40 eura.</w:t>
      </w:r>
    </w:p>
    <w:p w14:paraId="29489071">
      <w:pPr>
        <w:spacing w:after="0"/>
        <w:rPr>
          <w:rFonts w:cstheme="minorHAnsi"/>
        </w:rPr>
      </w:pPr>
      <w:r>
        <w:rPr>
          <w:rFonts w:cstheme="minorHAnsi"/>
        </w:rPr>
        <w:t>Aktivnost A100201 Predškolski odgoj DV Bubamara Kalinovac izvršena je u iznosu od 341.045,40 eura ili 89,52 % financijskog plana.</w:t>
      </w:r>
    </w:p>
    <w:p w14:paraId="5FDA0EEC">
      <w:pPr>
        <w:spacing w:after="0"/>
        <w:rPr>
          <w:rFonts w:cstheme="minorHAnsi"/>
        </w:rPr>
      </w:pPr>
      <w:r>
        <w:rPr>
          <w:rFonts w:cstheme="minorHAnsi"/>
        </w:rPr>
        <w:t xml:space="preserve">Od toga je za podmirenje plaća zaposlenika Dječjeg vrtića utrošeno 228.309,32 eura, ostali rashodi za zaposlene (božićnica, regres, prehrana, liječnički pregledi, dar u naravi, dar za dijete) u iznosu od 25.092,57 eura, doprinosi za obvezno zdravstveno osiguranje u iznosu od 37.671,13 eura. Rashodi za zaposlene isplaćivani su prema Pravilniku o osnovici za obračun plaća i koeficijentima za određena radna mjesta. Darovi, regres, božićnica isplaćivani su do zakonski neoporezivih iznosa. </w:t>
      </w:r>
    </w:p>
    <w:p w14:paraId="4B7B65B3">
      <w:pPr>
        <w:spacing w:after="0"/>
        <w:rPr>
          <w:rFonts w:cstheme="minorHAnsi"/>
        </w:rPr>
      </w:pPr>
      <w:r>
        <w:rPr>
          <w:rFonts w:cstheme="minorHAnsi"/>
        </w:rPr>
        <w:t>Za materijalne troškove utrošeno je 49.034,34 eura od čega je najviše utrošeno za troškove prehrane djece, za naknadu za prijevoz na posao i s posla, energiju, za intelektualne i osobne usluge te ostale usluge. Na stručno usavršavanje zaposlenika utrošeno je 412,12 eura. Stručna usavršavanja odgojnih djelatnika čine osnovu razvoja vrtića, samim time se utječe na kvalitetu svih segmenata odgojno obrazovnog rada. Uredski materijal i ostali materijalni rashodi utrošeni su u iznosu od 3.159,92 eura kao likovno-potrošni materijali na raznim radionicama.</w:t>
      </w:r>
    </w:p>
    <w:p w14:paraId="2CF2736B">
      <w:pPr>
        <w:spacing w:after="0"/>
        <w:rPr>
          <w:rFonts w:cstheme="minorHAnsi"/>
        </w:rPr>
      </w:pPr>
    </w:p>
    <w:p w14:paraId="503CAD6A">
      <w:pPr>
        <w:spacing w:after="0"/>
        <w:rPr>
          <w:rFonts w:cstheme="minorHAnsi"/>
        </w:rPr>
      </w:pPr>
    </w:p>
    <w:p w14:paraId="21F8431E">
      <w:pPr>
        <w:spacing w:after="0"/>
        <w:rPr>
          <w:rFonts w:cstheme="minorHAnsi"/>
        </w:rPr>
      </w:pPr>
    </w:p>
    <w:p w14:paraId="17199753">
      <w:pPr>
        <w:rPr>
          <w:rFonts w:cstheme="minorHAnsi"/>
          <w:b/>
          <w:bCs/>
          <w:sz w:val="28"/>
          <w:szCs w:val="28"/>
        </w:rPr>
      </w:pPr>
      <w:r>
        <w:rPr>
          <w:rFonts w:cstheme="minorHAnsi"/>
          <w:b/>
          <w:bCs/>
          <w:sz w:val="28"/>
          <w:szCs w:val="28"/>
        </w:rPr>
        <w:t>4) POSEBNI IZVJEŠTAJI</w:t>
      </w:r>
    </w:p>
    <w:p w14:paraId="70D0C90C">
      <w:pPr>
        <w:rPr>
          <w:rFonts w:cstheme="minorHAnsi"/>
          <w:b/>
          <w:bCs/>
          <w:sz w:val="28"/>
          <w:szCs w:val="28"/>
        </w:rPr>
      </w:pPr>
    </w:p>
    <w:p w14:paraId="4BCF1615">
      <w:pPr>
        <w:spacing w:after="0"/>
        <w:jc w:val="both"/>
        <w:rPr>
          <w:rFonts w:cstheme="minorHAnsi"/>
          <w:b/>
          <w:bCs/>
        </w:rPr>
      </w:pPr>
      <w:r>
        <w:rPr>
          <w:rFonts w:cstheme="minorHAnsi"/>
          <w:b/>
          <w:bCs/>
        </w:rPr>
        <w:t xml:space="preserve">1. IZVJEŠTAJ O ZADUŽIVANJU NA DOMAĆEM I STRANOM TRŽIŠTU NOVCA I  </w:t>
      </w:r>
    </w:p>
    <w:p w14:paraId="628EEFAE">
      <w:pPr>
        <w:spacing w:after="0"/>
        <w:jc w:val="both"/>
        <w:rPr>
          <w:rFonts w:cstheme="minorHAnsi"/>
          <w:b/>
          <w:bCs/>
        </w:rPr>
      </w:pPr>
      <w:r>
        <w:rPr>
          <w:rFonts w:cstheme="minorHAnsi"/>
          <w:b/>
          <w:bCs/>
        </w:rPr>
        <w:t xml:space="preserve">    KAPITALA</w:t>
      </w:r>
    </w:p>
    <w:p w14:paraId="208DCE10">
      <w:pPr>
        <w:spacing w:after="0"/>
        <w:jc w:val="both"/>
        <w:rPr>
          <w:rFonts w:cstheme="minorHAnsi"/>
        </w:rPr>
      </w:pPr>
    </w:p>
    <w:p w14:paraId="7B270C35">
      <w:pPr>
        <w:spacing w:after="0"/>
        <w:jc w:val="both"/>
        <w:rPr>
          <w:rFonts w:cstheme="minorHAnsi"/>
        </w:rPr>
      </w:pPr>
      <w:r>
        <w:rPr>
          <w:rFonts w:cstheme="minorHAnsi"/>
        </w:rPr>
        <w:t xml:space="preserve">Dječji vrtić Bubamara Kalinovac nema zaduživanja na domaćem i stranom tržištu novca i kapitala.  </w:t>
      </w:r>
    </w:p>
    <w:p w14:paraId="240C49A3">
      <w:pPr>
        <w:spacing w:after="0"/>
        <w:jc w:val="both"/>
        <w:rPr>
          <w:rFonts w:cstheme="minorHAnsi"/>
        </w:rPr>
      </w:pPr>
    </w:p>
    <w:p w14:paraId="0671B9C6">
      <w:pPr>
        <w:spacing w:after="0"/>
        <w:jc w:val="both"/>
        <w:rPr>
          <w:rFonts w:cstheme="minorHAnsi"/>
          <w:b/>
          <w:bCs/>
        </w:rPr>
      </w:pPr>
      <w:r>
        <w:rPr>
          <w:rFonts w:cstheme="minorHAnsi"/>
          <w:b/>
          <w:bCs/>
        </w:rPr>
        <w:t>2. IZVJEŠTAJ O KORIŠTENJU SREDSTAVA FONDOVA EUROPSKE UNIJE</w:t>
      </w:r>
    </w:p>
    <w:p w14:paraId="53F0A650">
      <w:pPr>
        <w:spacing w:after="0"/>
        <w:jc w:val="both"/>
        <w:rPr>
          <w:rFonts w:cstheme="minorHAnsi"/>
        </w:rPr>
      </w:pPr>
    </w:p>
    <w:p w14:paraId="52292C8B">
      <w:pPr>
        <w:spacing w:after="0"/>
        <w:jc w:val="both"/>
        <w:rPr>
          <w:rFonts w:cstheme="minorHAnsi"/>
        </w:rPr>
      </w:pPr>
      <w:r>
        <w:rPr>
          <w:rFonts w:cstheme="minorHAnsi"/>
        </w:rPr>
        <w:t xml:space="preserve">Dječji vrtić Bubamara Kalinovac nema korištena sredstva fondova europske unije. </w:t>
      </w:r>
    </w:p>
    <w:p w14:paraId="109EB667">
      <w:pPr>
        <w:spacing w:after="0"/>
        <w:jc w:val="both"/>
        <w:rPr>
          <w:rFonts w:cstheme="minorHAnsi"/>
        </w:rPr>
      </w:pPr>
    </w:p>
    <w:p w14:paraId="33C84218">
      <w:pPr>
        <w:spacing w:after="0"/>
        <w:jc w:val="both"/>
        <w:rPr>
          <w:rFonts w:cstheme="minorHAnsi"/>
          <w:b/>
          <w:bCs/>
        </w:rPr>
      </w:pPr>
      <w:r>
        <w:rPr>
          <w:rFonts w:cstheme="minorHAnsi"/>
          <w:b/>
          <w:bCs/>
        </w:rPr>
        <w:t>3. IZVJEŠTAJ O DANIM ZAJMOVIMA I POTRAŽIVANJIMA PO DANIM ZAJMOVIMA</w:t>
      </w:r>
    </w:p>
    <w:p w14:paraId="249C60CC">
      <w:pPr>
        <w:spacing w:after="0"/>
        <w:jc w:val="both"/>
        <w:rPr>
          <w:rFonts w:cstheme="minorHAnsi"/>
        </w:rPr>
      </w:pPr>
    </w:p>
    <w:p w14:paraId="1E3A2FED">
      <w:pPr>
        <w:spacing w:after="0"/>
        <w:jc w:val="both"/>
        <w:rPr>
          <w:rFonts w:cstheme="minorHAnsi"/>
        </w:rPr>
      </w:pPr>
      <w:r>
        <w:rPr>
          <w:rFonts w:cstheme="minorHAnsi"/>
        </w:rPr>
        <w:t>Dječji vrtić Bubamara Kalinovac nema dane zajmove i potraživanja po danim zajmovima.</w:t>
      </w:r>
    </w:p>
    <w:p w14:paraId="394D6B51">
      <w:pPr>
        <w:spacing w:after="0"/>
        <w:jc w:val="both"/>
        <w:rPr>
          <w:rFonts w:cstheme="minorHAnsi"/>
        </w:rPr>
      </w:pPr>
    </w:p>
    <w:p w14:paraId="6A1AE28E">
      <w:pPr>
        <w:spacing w:after="0"/>
        <w:jc w:val="both"/>
        <w:rPr>
          <w:rFonts w:cstheme="minorHAnsi"/>
          <w:b/>
          <w:bCs/>
        </w:rPr>
      </w:pPr>
      <w:bookmarkStart w:id="0" w:name="_Hlk161057895"/>
      <w:r>
        <w:rPr>
          <w:rFonts w:cstheme="minorHAnsi"/>
          <w:b/>
          <w:bCs/>
        </w:rPr>
        <w:t>4. IZVJEŠTAJ O STANJU POTRAŽIVANJA I DOSPJELIH OBVEZA</w:t>
      </w:r>
      <w:bookmarkEnd w:id="0"/>
      <w:r>
        <w:rPr>
          <w:rFonts w:cstheme="minorHAnsi"/>
          <w:b/>
          <w:bCs/>
        </w:rPr>
        <w:t xml:space="preserve">, TE O STANJU </w:t>
      </w:r>
    </w:p>
    <w:p w14:paraId="24726383">
      <w:pPr>
        <w:spacing w:after="0"/>
        <w:jc w:val="both"/>
        <w:rPr>
          <w:rFonts w:cstheme="minorHAnsi"/>
          <w:b/>
          <w:bCs/>
        </w:rPr>
      </w:pPr>
      <w:r>
        <w:rPr>
          <w:rFonts w:cstheme="minorHAnsi"/>
          <w:b/>
          <w:bCs/>
        </w:rPr>
        <w:t xml:space="preserve">    POTENCIJALNIH OBVEZA PO OSNOVI SUDSKIH SPOROVA</w:t>
      </w:r>
    </w:p>
    <w:p w14:paraId="53607114">
      <w:pPr>
        <w:spacing w:after="0"/>
        <w:jc w:val="both"/>
        <w:rPr>
          <w:rFonts w:cstheme="minorHAnsi"/>
        </w:rPr>
      </w:pPr>
    </w:p>
    <w:p w14:paraId="35DEF9F6">
      <w:pPr>
        <w:spacing w:after="0"/>
        <w:jc w:val="both"/>
        <w:rPr>
          <w:rFonts w:cstheme="minorHAnsi"/>
          <w:b/>
          <w:bCs/>
        </w:rPr>
      </w:pPr>
      <w:r>
        <w:rPr>
          <w:rFonts w:cstheme="minorHAnsi"/>
          <w:b/>
          <w:bCs/>
        </w:rPr>
        <w:t>Stanje potraživanja na dan 31. prosinca 2025. godine iznose kako slijedi:</w:t>
      </w:r>
    </w:p>
    <w:p w14:paraId="46282936">
      <w:pPr>
        <w:rPr>
          <w:rFonts w:cstheme="minorHAnsi"/>
        </w:rPr>
      </w:pPr>
      <w:r>
        <w:rPr>
          <w:rFonts w:cstheme="minorHAnsi"/>
        </w:rPr>
        <w:t>Potraživanje za više plaćeni porez na dohodak iz plaća po konačnom obračunu iznosi 198,87 eura. Potraživanja za prihode poslovanja odnose se na uplatu roditelja za sufinanciranje vrtića. Navedena potraživanja iznose 425,62 eura.</w:t>
      </w:r>
    </w:p>
    <w:p w14:paraId="613C9162">
      <w:pPr>
        <w:rPr>
          <w:rFonts w:cstheme="minorHAnsi"/>
        </w:rPr>
      </w:pPr>
    </w:p>
    <w:p w14:paraId="0DC1C41A">
      <w:pPr>
        <w:spacing w:after="0"/>
        <w:rPr>
          <w:rFonts w:cstheme="minorHAnsi"/>
          <w:b/>
          <w:bCs/>
        </w:rPr>
      </w:pPr>
      <w:r>
        <w:rPr>
          <w:rFonts w:cstheme="minorHAnsi"/>
          <w:b/>
          <w:bCs/>
        </w:rPr>
        <w:t>Obveze na dan 31.12.2025. godine iznose kako slijedi:</w:t>
      </w:r>
    </w:p>
    <w:p w14:paraId="5D8CD7DC">
      <w:pPr>
        <w:rPr>
          <w:rFonts w:cstheme="minorHAnsi"/>
        </w:rPr>
      </w:pPr>
      <w:r>
        <w:rPr>
          <w:rFonts w:cstheme="minorHAnsi"/>
        </w:rPr>
        <w:t>Stanje obveza na dan 31.12.2025. godine odnose se na obveze za zaposlene za prosinac 2025. godine u iznosu od 13.673,40 eura, za materijalne rashode 2.287,33 eura.</w:t>
      </w:r>
    </w:p>
    <w:p w14:paraId="7F41F885">
      <w:pPr>
        <w:spacing w:after="0"/>
        <w:rPr>
          <w:rFonts w:cstheme="minorHAnsi"/>
          <w:b/>
          <w:bCs/>
        </w:rPr>
      </w:pPr>
    </w:p>
    <w:p w14:paraId="20E81236">
      <w:pPr>
        <w:spacing w:line="240" w:lineRule="auto"/>
        <w:jc w:val="both"/>
        <w:rPr>
          <w:rFonts w:cstheme="minorHAnsi"/>
        </w:rPr>
      </w:pPr>
      <w:r>
        <w:rPr>
          <w:rFonts w:cstheme="minorHAnsi"/>
        </w:rPr>
        <w:t>Dječji vrtić Bubamara Kalinovac nema potencijalnih obveza po osnovi sudskih sporova.</w:t>
      </w:r>
    </w:p>
    <w:p w14:paraId="57F9686E">
      <w:pPr>
        <w:rPr>
          <w:rFonts w:cstheme="minorHAnsi"/>
        </w:rPr>
      </w:pPr>
    </w:p>
    <w:p w14:paraId="5D75C247"/>
    <w:p w14:paraId="78AD4B01"/>
    <w:p w14:paraId="094125D1"/>
    <w:p w14:paraId="79214CAA">
      <w:pPr>
        <w:rPr>
          <w:b/>
          <w:bCs/>
        </w:rPr>
      </w:pPr>
      <w:r>
        <w:rPr>
          <w:b/>
          <w:bCs/>
        </w:rPr>
        <w:t>U Kalinovcu, 19.03.2026.</w:t>
      </w:r>
    </w:p>
    <w:p w14:paraId="1DA1ADE0"/>
    <w:p w14:paraId="0D537F25">
      <w:pPr>
        <w:spacing w:line="240" w:lineRule="auto"/>
        <w:rPr>
          <w:b/>
          <w:bCs/>
        </w:rPr>
      </w:pPr>
      <w:r>
        <w:rPr>
          <w:b/>
          <w:bCs/>
        </w:rPr>
        <w:t>Sastavila:                                                                                                                          Ravnateljica:</w:t>
      </w:r>
    </w:p>
    <w:p w14:paraId="50400ACB">
      <w:pPr>
        <w:spacing w:line="240" w:lineRule="auto"/>
      </w:pPr>
      <w:r>
        <w:t>Marija Dugalija                                                                                                                 Ivana Biruš</w:t>
      </w: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BE0"/>
    <w:rsid w:val="0006786B"/>
    <w:rsid w:val="00105552"/>
    <w:rsid w:val="00152111"/>
    <w:rsid w:val="00193BDE"/>
    <w:rsid w:val="001B2F24"/>
    <w:rsid w:val="00233A1D"/>
    <w:rsid w:val="00241158"/>
    <w:rsid w:val="00247B33"/>
    <w:rsid w:val="00273170"/>
    <w:rsid w:val="0029074B"/>
    <w:rsid w:val="00296D68"/>
    <w:rsid w:val="002A4973"/>
    <w:rsid w:val="002F2C0B"/>
    <w:rsid w:val="002F4175"/>
    <w:rsid w:val="00323693"/>
    <w:rsid w:val="00326B7C"/>
    <w:rsid w:val="00340726"/>
    <w:rsid w:val="003A586A"/>
    <w:rsid w:val="003B7BAA"/>
    <w:rsid w:val="003F4AEF"/>
    <w:rsid w:val="00402F7E"/>
    <w:rsid w:val="004043D2"/>
    <w:rsid w:val="00423D0C"/>
    <w:rsid w:val="00425321"/>
    <w:rsid w:val="00431879"/>
    <w:rsid w:val="004531F9"/>
    <w:rsid w:val="00471484"/>
    <w:rsid w:val="004835A4"/>
    <w:rsid w:val="00496C4B"/>
    <w:rsid w:val="004A328B"/>
    <w:rsid w:val="004C67F6"/>
    <w:rsid w:val="004D0500"/>
    <w:rsid w:val="004F5A54"/>
    <w:rsid w:val="0050164F"/>
    <w:rsid w:val="00507EF6"/>
    <w:rsid w:val="00540F0B"/>
    <w:rsid w:val="00574EFF"/>
    <w:rsid w:val="00585232"/>
    <w:rsid w:val="005C3926"/>
    <w:rsid w:val="005F3D61"/>
    <w:rsid w:val="005F7FDB"/>
    <w:rsid w:val="00642C98"/>
    <w:rsid w:val="00650CC6"/>
    <w:rsid w:val="006763A0"/>
    <w:rsid w:val="0068730A"/>
    <w:rsid w:val="006D2F70"/>
    <w:rsid w:val="006D46CE"/>
    <w:rsid w:val="00706F97"/>
    <w:rsid w:val="007156C6"/>
    <w:rsid w:val="007A7BBF"/>
    <w:rsid w:val="007B62B1"/>
    <w:rsid w:val="007E7448"/>
    <w:rsid w:val="007F55C4"/>
    <w:rsid w:val="008271B6"/>
    <w:rsid w:val="00861423"/>
    <w:rsid w:val="008E6D41"/>
    <w:rsid w:val="00984C8B"/>
    <w:rsid w:val="009C128E"/>
    <w:rsid w:val="00A02E54"/>
    <w:rsid w:val="00A212AD"/>
    <w:rsid w:val="00A31B6A"/>
    <w:rsid w:val="00A460D1"/>
    <w:rsid w:val="00A62027"/>
    <w:rsid w:val="00A62F47"/>
    <w:rsid w:val="00A77BD3"/>
    <w:rsid w:val="00A91753"/>
    <w:rsid w:val="00AB728D"/>
    <w:rsid w:val="00AD2B5E"/>
    <w:rsid w:val="00B00032"/>
    <w:rsid w:val="00B13A36"/>
    <w:rsid w:val="00B16E38"/>
    <w:rsid w:val="00B526B4"/>
    <w:rsid w:val="00BB1A8D"/>
    <w:rsid w:val="00BE0EA7"/>
    <w:rsid w:val="00BE0FAE"/>
    <w:rsid w:val="00BF3BE0"/>
    <w:rsid w:val="00BF4C29"/>
    <w:rsid w:val="00C355B5"/>
    <w:rsid w:val="00CE097F"/>
    <w:rsid w:val="00D57DE3"/>
    <w:rsid w:val="00D8406B"/>
    <w:rsid w:val="00D864E8"/>
    <w:rsid w:val="00D92B62"/>
    <w:rsid w:val="00D942BC"/>
    <w:rsid w:val="00DA065B"/>
    <w:rsid w:val="00DA54F4"/>
    <w:rsid w:val="00DE50B1"/>
    <w:rsid w:val="00E04414"/>
    <w:rsid w:val="00E459A4"/>
    <w:rsid w:val="00EB02D3"/>
    <w:rsid w:val="00EB11B4"/>
    <w:rsid w:val="00ED0314"/>
    <w:rsid w:val="00EE638C"/>
    <w:rsid w:val="00EE6A58"/>
    <w:rsid w:val="00EF608E"/>
    <w:rsid w:val="00F00A0C"/>
    <w:rsid w:val="00F0537C"/>
    <w:rsid w:val="00F15034"/>
    <w:rsid w:val="00FA5C9D"/>
    <w:rsid w:val="00FD05FA"/>
    <w:rsid w:val="378E0BE6"/>
    <w:rsid w:val="54D81A3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D3E04-649D-4F8D-94C3-13BDEC0554E0}">
  <ds:schemaRefs/>
</ds:datastoreItem>
</file>

<file path=docProps/app.xml><?xml version="1.0" encoding="utf-8"?>
<Properties xmlns="http://schemas.openxmlformats.org/officeDocument/2006/extended-properties" xmlns:vt="http://schemas.openxmlformats.org/officeDocument/2006/docPropsVTypes">
  <Template>Normal</Template>
  <Pages>4</Pages>
  <Words>1119</Words>
  <Characters>6384</Characters>
  <Lines>53</Lines>
  <Paragraphs>14</Paragraphs>
  <TotalTime>832</TotalTime>
  <ScaleCrop>false</ScaleCrop>
  <LinksUpToDate>false</LinksUpToDate>
  <CharactersWithSpaces>7489</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2023-01-31T13:22:00Z</dcterms:created>
  <dc:creator>Općina Kalinovac</dc:creator>
  <cp:lastModifiedBy>Korisnik</cp:lastModifiedBy>
  <cp:lastPrinted>2026-05-04T08:49:45Z</cp:lastPrinted>
  <dcterms:modified xsi:type="dcterms:W3CDTF">2026-05-04T08:49:51Z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3FF454CBFA0348FE86E0992ECF5E517A_13</vt:lpwstr>
  </property>
</Properties>
</file>