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61C" w:rsidRPr="005332C7" w:rsidRDefault="005332C7" w:rsidP="005332C7">
      <w:pPr>
        <w:rPr>
          <w:rFonts w:asciiTheme="majorHAnsi" w:hAnsiTheme="majorHAnsi" w:cs="Times New Roman"/>
        </w:rPr>
      </w:pPr>
      <w:r>
        <w:tab/>
      </w:r>
      <w:r w:rsidRPr="005332C7">
        <w:rPr>
          <w:rFonts w:asciiTheme="majorHAnsi" w:hAnsiTheme="majorHAnsi" w:cs="Times New Roman"/>
        </w:rPr>
        <w:t>Na temelju članka 41. stavka 1. Zakona o predškolskom odgoju i obr</w:t>
      </w:r>
      <w:r w:rsidR="00FA0FB8">
        <w:rPr>
          <w:rFonts w:asciiTheme="majorHAnsi" w:hAnsiTheme="majorHAnsi" w:cs="Times New Roman"/>
        </w:rPr>
        <w:t xml:space="preserve">azovanju </w:t>
      </w:r>
      <w:r w:rsidR="009E39F2">
        <w:rPr>
          <w:rFonts w:asciiTheme="majorHAnsi" w:hAnsiTheme="majorHAnsi" w:cs="Times New Roman"/>
        </w:rPr>
        <w:t>( „Narodne novine“ broj 10/97, 107/07 i 94/13)</w:t>
      </w:r>
      <w:r w:rsidR="00FA0FB8">
        <w:rPr>
          <w:rFonts w:asciiTheme="majorHAnsi" w:hAnsiTheme="majorHAnsi" w:cs="Times New Roman"/>
        </w:rPr>
        <w:t>i članka 31. točka 6. D</w:t>
      </w:r>
      <w:r w:rsidRPr="005332C7">
        <w:rPr>
          <w:rFonts w:asciiTheme="majorHAnsi" w:hAnsiTheme="majorHAnsi" w:cs="Times New Roman"/>
        </w:rPr>
        <w:t>ržavnog pedagoškog standarda predškolskog odg</w:t>
      </w:r>
      <w:r w:rsidR="00FA0FB8">
        <w:rPr>
          <w:rFonts w:asciiTheme="majorHAnsi" w:hAnsiTheme="majorHAnsi" w:cs="Times New Roman"/>
        </w:rPr>
        <w:t>oja i obrazovanja</w:t>
      </w:r>
      <w:r w:rsidR="00F51318">
        <w:rPr>
          <w:rFonts w:asciiTheme="majorHAnsi" w:hAnsiTheme="majorHAnsi" w:cs="Times New Roman"/>
        </w:rPr>
        <w:t>,</w:t>
      </w:r>
      <w:r w:rsidR="00FA0FB8">
        <w:rPr>
          <w:rFonts w:asciiTheme="majorHAnsi" w:hAnsiTheme="majorHAnsi" w:cs="Times New Roman"/>
        </w:rPr>
        <w:t xml:space="preserve"> </w:t>
      </w:r>
      <w:r w:rsidR="009E39F2">
        <w:rPr>
          <w:rFonts w:asciiTheme="majorHAnsi" w:hAnsiTheme="majorHAnsi" w:cs="Times New Roman"/>
        </w:rPr>
        <w:t>Upravno vijeće</w:t>
      </w:r>
      <w:r w:rsidR="00FA0FB8">
        <w:rPr>
          <w:rFonts w:asciiTheme="majorHAnsi" w:hAnsiTheme="majorHAnsi" w:cs="Times New Roman"/>
        </w:rPr>
        <w:t xml:space="preserve"> D</w:t>
      </w:r>
      <w:r w:rsidRPr="005332C7">
        <w:rPr>
          <w:rFonts w:asciiTheme="majorHAnsi" w:hAnsiTheme="majorHAnsi" w:cs="Times New Roman"/>
        </w:rPr>
        <w:t>ječjeg vrtića Bubamara</w:t>
      </w:r>
      <w:r w:rsidR="009E39F2">
        <w:rPr>
          <w:rFonts w:asciiTheme="majorHAnsi" w:hAnsiTheme="majorHAnsi" w:cs="Times New Roman"/>
        </w:rPr>
        <w:t xml:space="preserve"> </w:t>
      </w:r>
      <w:r w:rsidR="00F51318">
        <w:rPr>
          <w:rFonts w:asciiTheme="majorHAnsi" w:hAnsiTheme="majorHAnsi" w:cs="Times New Roman"/>
        </w:rPr>
        <w:t>Kalinovac</w:t>
      </w:r>
      <w:r w:rsidRPr="005332C7">
        <w:rPr>
          <w:rFonts w:asciiTheme="majorHAnsi" w:hAnsiTheme="majorHAnsi" w:cs="Times New Roman"/>
        </w:rPr>
        <w:t xml:space="preserve"> </w:t>
      </w:r>
      <w:r w:rsidR="009E39F2">
        <w:rPr>
          <w:rFonts w:asciiTheme="majorHAnsi" w:hAnsiTheme="majorHAnsi" w:cs="Times New Roman"/>
        </w:rPr>
        <w:t xml:space="preserve">, uz prethodnu suglasnost Općinskog vijeća Općine Kalinovac KLASA:601-01/17-01/01, URBROJ:2137/21-01/02-17-2 od 30. ožujka 2017., na 16. sjednici održanoj 30. svibnja 2017. godine donijelo je </w:t>
      </w:r>
    </w:p>
    <w:p w:rsidR="005332C7" w:rsidRPr="005332C7" w:rsidRDefault="005332C7" w:rsidP="005332C7">
      <w:pPr>
        <w:rPr>
          <w:rFonts w:asciiTheme="majorHAnsi" w:hAnsiTheme="majorHAnsi" w:cs="Times New Roman"/>
        </w:rPr>
      </w:pPr>
    </w:p>
    <w:p w:rsidR="005332C7" w:rsidRPr="005332C7" w:rsidRDefault="005332C7" w:rsidP="005332C7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 w:rsidRPr="005332C7">
        <w:rPr>
          <w:rFonts w:asciiTheme="majorHAnsi" w:hAnsiTheme="majorHAnsi"/>
          <w:b/>
          <w:sz w:val="24"/>
          <w:szCs w:val="24"/>
        </w:rPr>
        <w:t>IZMJENE PRAVILNIKA</w:t>
      </w:r>
    </w:p>
    <w:p w:rsidR="005332C7" w:rsidRPr="005332C7" w:rsidRDefault="005332C7" w:rsidP="005332C7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 w:rsidRPr="005332C7">
        <w:rPr>
          <w:rFonts w:asciiTheme="majorHAnsi" w:hAnsiTheme="majorHAnsi"/>
          <w:b/>
          <w:sz w:val="24"/>
          <w:szCs w:val="24"/>
        </w:rPr>
        <w:t>o unutarnjem ustrojstvu i načinu rada</w:t>
      </w:r>
    </w:p>
    <w:p w:rsidR="005332C7" w:rsidRDefault="005332C7" w:rsidP="005332C7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 w:rsidRPr="005332C7">
        <w:rPr>
          <w:rFonts w:asciiTheme="majorHAnsi" w:hAnsiTheme="majorHAnsi"/>
          <w:b/>
          <w:sz w:val="24"/>
          <w:szCs w:val="24"/>
        </w:rPr>
        <w:t>Dječjeg vrtića Bubamara Kalinovac</w:t>
      </w:r>
    </w:p>
    <w:p w:rsidR="005332C7" w:rsidRDefault="005332C7" w:rsidP="005332C7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</w:p>
    <w:p w:rsidR="005332C7" w:rsidRDefault="005332C7" w:rsidP="005332C7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</w:p>
    <w:p w:rsidR="005332C7" w:rsidRDefault="005332C7" w:rsidP="005332C7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Članak 1.</w:t>
      </w:r>
    </w:p>
    <w:p w:rsidR="00AB0EA0" w:rsidRDefault="00AB0EA0" w:rsidP="005332C7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</w:p>
    <w:p w:rsidR="00AB0EA0" w:rsidRDefault="00AB0EA0" w:rsidP="00AB0EA0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  <w:sz w:val="24"/>
          <w:szCs w:val="24"/>
        </w:rPr>
        <w:tab/>
      </w:r>
      <w:r>
        <w:rPr>
          <w:rFonts w:asciiTheme="majorHAnsi" w:hAnsiTheme="majorHAnsi"/>
        </w:rPr>
        <w:t>Članku 24. dodaje se:</w:t>
      </w:r>
    </w:p>
    <w:p w:rsidR="00AB0EA0" w:rsidRDefault="00AB0EA0" w:rsidP="00AB0EA0">
      <w:pPr>
        <w:pStyle w:val="NoSpacing"/>
        <w:rPr>
          <w:rFonts w:asciiTheme="majorHAnsi" w:hAnsiTheme="majorHAnsi"/>
        </w:rPr>
      </w:pPr>
    </w:p>
    <w:tbl>
      <w:tblPr>
        <w:tblStyle w:val="TableGrid"/>
        <w:tblW w:w="0" w:type="auto"/>
        <w:tblLook w:val="04A0"/>
      </w:tblPr>
      <w:tblGrid>
        <w:gridCol w:w="2093"/>
        <w:gridCol w:w="7195"/>
      </w:tblGrid>
      <w:tr w:rsidR="00AB0EA0" w:rsidTr="00AB0EA0">
        <w:trPr>
          <w:trHeight w:val="312"/>
        </w:trPr>
        <w:tc>
          <w:tcPr>
            <w:tcW w:w="2093" w:type="dxa"/>
          </w:tcPr>
          <w:p w:rsidR="00AB0EA0" w:rsidRDefault="00AB0EA0" w:rsidP="00AB0EA0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Naziv skupine poslova</w:t>
            </w:r>
          </w:p>
        </w:tc>
        <w:tc>
          <w:tcPr>
            <w:tcW w:w="7195" w:type="dxa"/>
          </w:tcPr>
          <w:p w:rsidR="00AB0EA0" w:rsidRDefault="00AB0EA0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2. Poslovi odgoja i obrazovanja </w:t>
            </w:r>
          </w:p>
        </w:tc>
      </w:tr>
      <w:tr w:rsidR="00AB0EA0" w:rsidTr="00AB0EA0">
        <w:tc>
          <w:tcPr>
            <w:tcW w:w="2093" w:type="dxa"/>
          </w:tcPr>
          <w:p w:rsidR="00AB0EA0" w:rsidRDefault="00AB0EA0" w:rsidP="00AB0EA0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Naziv radnog mjesta</w:t>
            </w:r>
          </w:p>
        </w:tc>
        <w:tc>
          <w:tcPr>
            <w:tcW w:w="7195" w:type="dxa"/>
          </w:tcPr>
          <w:p w:rsidR="00AB0EA0" w:rsidRDefault="00AB0EA0" w:rsidP="00062E44">
            <w:pPr>
              <w:pStyle w:val="NoSpacing"/>
              <w:ind w:left="34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Stručni suradnik </w:t>
            </w:r>
            <w:r w:rsidR="009E39F2">
              <w:rPr>
                <w:rFonts w:asciiTheme="majorHAnsi" w:hAnsiTheme="majorHAnsi"/>
              </w:rPr>
              <w:t>–</w:t>
            </w:r>
            <w:r>
              <w:rPr>
                <w:rFonts w:asciiTheme="majorHAnsi" w:hAnsiTheme="majorHAnsi"/>
              </w:rPr>
              <w:t xml:space="preserve"> pedagog</w:t>
            </w:r>
          </w:p>
        </w:tc>
      </w:tr>
      <w:tr w:rsidR="00AB0EA0" w:rsidTr="00AB0EA0">
        <w:tc>
          <w:tcPr>
            <w:tcW w:w="2093" w:type="dxa"/>
          </w:tcPr>
          <w:p w:rsidR="00AB0EA0" w:rsidRDefault="00AB0EA0" w:rsidP="00AB0EA0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Uvjeti</w:t>
            </w:r>
          </w:p>
        </w:tc>
        <w:tc>
          <w:tcPr>
            <w:tcW w:w="7195" w:type="dxa"/>
          </w:tcPr>
          <w:p w:rsidR="00AB0EA0" w:rsidRDefault="00AB0EA0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VSS predškolski odgoj,</w:t>
            </w:r>
          </w:p>
          <w:p w:rsidR="00AB0EA0" w:rsidRDefault="00AB0EA0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položen stručni ispit,</w:t>
            </w:r>
          </w:p>
          <w:p w:rsidR="00AB0EA0" w:rsidRDefault="00AB0EA0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utvrđena zdravstvena sposobnost za obavljanje posla,</w:t>
            </w:r>
          </w:p>
          <w:p w:rsidR="00AB0EA0" w:rsidRDefault="00AB0EA0" w:rsidP="00062E44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-  da zadovoljava uvjete iz članka 25. Zakona o predškolskom odgoju i          obrazovanju. </w:t>
            </w:r>
          </w:p>
        </w:tc>
      </w:tr>
      <w:tr w:rsidR="00AB0EA0" w:rsidTr="00AB0EA0">
        <w:tc>
          <w:tcPr>
            <w:tcW w:w="2093" w:type="dxa"/>
          </w:tcPr>
          <w:p w:rsidR="00AB0EA0" w:rsidRDefault="00AB0EA0" w:rsidP="00AB0EA0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Broj radnika</w:t>
            </w:r>
          </w:p>
        </w:tc>
        <w:tc>
          <w:tcPr>
            <w:tcW w:w="7195" w:type="dxa"/>
          </w:tcPr>
          <w:p w:rsidR="00AB0EA0" w:rsidRDefault="00AB0EA0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1</w:t>
            </w:r>
          </w:p>
        </w:tc>
      </w:tr>
      <w:tr w:rsidR="00AB0EA0" w:rsidTr="00AB0EA0">
        <w:tc>
          <w:tcPr>
            <w:tcW w:w="2093" w:type="dxa"/>
          </w:tcPr>
          <w:p w:rsidR="00AB0EA0" w:rsidRDefault="00AB0EA0" w:rsidP="00AB0EA0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Opis poslova</w:t>
            </w:r>
          </w:p>
        </w:tc>
        <w:tc>
          <w:tcPr>
            <w:tcW w:w="7195" w:type="dxa"/>
          </w:tcPr>
          <w:p w:rsidR="00AB0EA0" w:rsidRDefault="00AB0EA0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-  </w:t>
            </w:r>
            <w:r w:rsidR="001101F8">
              <w:rPr>
                <w:rFonts w:asciiTheme="majorHAnsi" w:hAnsiTheme="majorHAnsi"/>
              </w:rPr>
              <w:t>prati realizaciju odgojno – obrazovnog rada;</w:t>
            </w:r>
          </w:p>
          <w:p w:rsidR="001101F8" w:rsidRDefault="001101F8" w:rsidP="000B210D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stručno pridonosi maksimalnoj efikasnosti odgojno – obrazovnih ciljeva te unapređuje cjeloviti odgojno – obrazovni proces;</w:t>
            </w:r>
          </w:p>
          <w:p w:rsidR="001101F8" w:rsidRDefault="001101F8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pridonosi razvoju timskog rada u dječjem vrtiću i afirmira djelatnost;</w:t>
            </w:r>
          </w:p>
          <w:p w:rsidR="001101F8" w:rsidRDefault="001101F8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predlaže inovacije, suvremene metode i oblike rada koji će pridonijeti maksimalnom razvoju dječjih sposobnosti;</w:t>
            </w:r>
          </w:p>
          <w:p w:rsidR="001101F8" w:rsidRDefault="001101F8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predlaže, sudjeluje i pomaže odgojiteljima u ostvarivanju programa stručnog usavršavanja i obrazovanja;</w:t>
            </w:r>
          </w:p>
          <w:p w:rsidR="001101F8" w:rsidRDefault="001101F8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ostvaruje suradnju s roditeljima i pomaže im u odgoju i obrazovanju djece te rješavanju odgojno – obrazovnih problema;</w:t>
            </w:r>
          </w:p>
          <w:p w:rsidR="001101F8" w:rsidRDefault="001101F8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daje stručna mišljenja na zahtjev roditelja ili nadležnih tijela;</w:t>
            </w:r>
          </w:p>
          <w:p w:rsidR="000B210D" w:rsidRDefault="001101F8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-  surađuje s drugim odgojno </w:t>
            </w:r>
            <w:r w:rsidR="000B210D">
              <w:rPr>
                <w:rFonts w:asciiTheme="majorHAnsi" w:hAnsiTheme="majorHAnsi"/>
              </w:rPr>
              <w:t>–</w:t>
            </w:r>
            <w:r>
              <w:rPr>
                <w:rFonts w:asciiTheme="majorHAnsi" w:hAnsiTheme="majorHAnsi"/>
              </w:rPr>
              <w:t xml:space="preserve"> obrazovnim</w:t>
            </w:r>
            <w:r w:rsidR="000B210D">
              <w:rPr>
                <w:rFonts w:asciiTheme="majorHAnsi" w:hAnsiTheme="majorHAnsi"/>
              </w:rPr>
              <w:t xml:space="preserve"> čimbenicima;</w:t>
            </w:r>
          </w:p>
          <w:p w:rsidR="000B210D" w:rsidRDefault="000B210D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pridonosi razvoju timskog rada u Dječjem vrtiću;</w:t>
            </w:r>
          </w:p>
          <w:p w:rsidR="000B210D" w:rsidRDefault="000B210D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javno predstavlja odgojno – obrazovni rad Dječjeg vrtića;</w:t>
            </w:r>
          </w:p>
          <w:p w:rsidR="000B210D" w:rsidRDefault="000B210D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sudjeluje u istraživanjima u Dječjem vrtiću te javno prezentira rezultate;</w:t>
            </w:r>
          </w:p>
          <w:p w:rsidR="000B210D" w:rsidRDefault="000B210D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vodi pedagošku dokumentaciju;</w:t>
            </w:r>
          </w:p>
          <w:p w:rsidR="000B210D" w:rsidRDefault="000B210D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stručno se usavršava sukladno godišnjem i individualnom planu usavršavanja;</w:t>
            </w:r>
          </w:p>
          <w:p w:rsidR="000B210D" w:rsidRDefault="000B210D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sudjeluje u organizaciji i provođenju prijema novoupisane djece;</w:t>
            </w:r>
          </w:p>
          <w:p w:rsidR="000B210D" w:rsidRDefault="000B210D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izrađuje pedagoška statistička izvješća te vodi brigu o nabavi i raspodjeli pedagoškog i didaktičkog materijala;</w:t>
            </w:r>
          </w:p>
          <w:p w:rsidR="001101F8" w:rsidRDefault="000B210D" w:rsidP="00AB0EA0">
            <w:pPr>
              <w:pStyle w:val="NoSpacing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 obavlja i sve druge poslove po nalogu rav</w:t>
            </w:r>
            <w:r w:rsidR="009421F6">
              <w:rPr>
                <w:rFonts w:asciiTheme="majorHAnsi" w:hAnsiTheme="majorHAnsi"/>
              </w:rPr>
              <w:t>natelja</w:t>
            </w:r>
          </w:p>
        </w:tc>
      </w:tr>
    </w:tbl>
    <w:p w:rsidR="00AB0EA0" w:rsidRDefault="00AB0EA0" w:rsidP="00AB0EA0">
      <w:pPr>
        <w:pStyle w:val="NoSpacing"/>
        <w:rPr>
          <w:rFonts w:asciiTheme="majorHAnsi" w:hAnsiTheme="majorHAnsi"/>
        </w:rPr>
      </w:pPr>
    </w:p>
    <w:p w:rsidR="009421F6" w:rsidRDefault="009421F6" w:rsidP="00AB0EA0">
      <w:pPr>
        <w:pStyle w:val="NoSpacing"/>
        <w:rPr>
          <w:rFonts w:asciiTheme="majorHAnsi" w:hAnsiTheme="majorHAnsi"/>
        </w:rPr>
      </w:pPr>
    </w:p>
    <w:p w:rsidR="006151BA" w:rsidRDefault="006151BA" w:rsidP="006151BA">
      <w:pPr>
        <w:pStyle w:val="NoSpacing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Članak 2.</w:t>
      </w:r>
    </w:p>
    <w:p w:rsidR="006151BA" w:rsidRDefault="006151BA" w:rsidP="006151BA">
      <w:pPr>
        <w:pStyle w:val="NoSpacing"/>
        <w:jc w:val="center"/>
        <w:rPr>
          <w:rFonts w:asciiTheme="majorHAnsi" w:hAnsiTheme="majorHAnsi"/>
        </w:rPr>
      </w:pPr>
    </w:p>
    <w:p w:rsidR="006151BA" w:rsidRDefault="006151BA" w:rsidP="006151BA">
      <w:pPr>
        <w:pStyle w:val="NoSpacing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Ovu izmjenu Pravilnika o unutarnjem ustrojstvu i načinu rada Dječjeg vrtića Bubamara Kalinovac, donosi Upra</w:t>
      </w:r>
      <w:r w:rsidR="00E253E7">
        <w:rPr>
          <w:rFonts w:asciiTheme="majorHAnsi" w:hAnsiTheme="majorHAnsi"/>
        </w:rPr>
        <w:t>v</w:t>
      </w:r>
      <w:r>
        <w:rPr>
          <w:rFonts w:asciiTheme="majorHAnsi" w:hAnsiTheme="majorHAnsi"/>
        </w:rPr>
        <w:t>no vijeće uz prethodnu suglasnost Općinskog vijeća Općine Kalinovac.</w:t>
      </w:r>
    </w:p>
    <w:p w:rsidR="006151BA" w:rsidRDefault="006151BA" w:rsidP="006151BA">
      <w:pPr>
        <w:pStyle w:val="NoSpacing"/>
        <w:jc w:val="center"/>
        <w:rPr>
          <w:rFonts w:asciiTheme="majorHAnsi" w:hAnsiTheme="majorHAnsi"/>
        </w:rPr>
      </w:pPr>
    </w:p>
    <w:p w:rsidR="006151BA" w:rsidRDefault="006151BA" w:rsidP="006151BA">
      <w:pPr>
        <w:pStyle w:val="NoSpacing"/>
        <w:jc w:val="center"/>
        <w:rPr>
          <w:rFonts w:asciiTheme="majorHAnsi" w:hAnsiTheme="majorHAnsi"/>
        </w:rPr>
      </w:pPr>
    </w:p>
    <w:p w:rsidR="006151BA" w:rsidRDefault="006151BA" w:rsidP="006151BA">
      <w:pPr>
        <w:pStyle w:val="NoSpacing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Članak 3.</w:t>
      </w:r>
    </w:p>
    <w:p w:rsidR="006151BA" w:rsidRDefault="006151BA" w:rsidP="006151BA">
      <w:pPr>
        <w:pStyle w:val="NoSpacing"/>
        <w:jc w:val="center"/>
        <w:rPr>
          <w:rFonts w:asciiTheme="majorHAnsi" w:hAnsiTheme="majorHAnsi"/>
        </w:rPr>
      </w:pPr>
    </w:p>
    <w:p w:rsidR="006151BA" w:rsidRDefault="006151BA" w:rsidP="006151BA">
      <w:pPr>
        <w:pStyle w:val="NoSpacing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Ostale odredbe Pravilnika o unutarnjem ustrojstvu i načinu rada Dječjeg vrtića </w:t>
      </w:r>
    </w:p>
    <w:p w:rsidR="006151BA" w:rsidRDefault="006151BA" w:rsidP="006151BA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>Bubamara Kalinovac ostalu na snazi.</w:t>
      </w:r>
    </w:p>
    <w:p w:rsidR="006151BA" w:rsidRDefault="006151BA" w:rsidP="006151BA">
      <w:pPr>
        <w:pStyle w:val="NoSpacing"/>
        <w:rPr>
          <w:rFonts w:asciiTheme="majorHAnsi" w:hAnsiTheme="majorHAnsi"/>
        </w:rPr>
      </w:pPr>
    </w:p>
    <w:p w:rsidR="006151BA" w:rsidRDefault="006151BA" w:rsidP="006151BA">
      <w:pPr>
        <w:pStyle w:val="NoSpacing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Članak 4.</w:t>
      </w:r>
    </w:p>
    <w:p w:rsidR="006151BA" w:rsidRDefault="006151BA" w:rsidP="006151BA">
      <w:pPr>
        <w:pStyle w:val="NoSpacing"/>
        <w:jc w:val="center"/>
        <w:rPr>
          <w:rFonts w:asciiTheme="majorHAnsi" w:hAnsiTheme="majorHAnsi"/>
        </w:rPr>
      </w:pPr>
    </w:p>
    <w:p w:rsidR="006151BA" w:rsidRDefault="006151BA" w:rsidP="006151BA">
      <w:pPr>
        <w:pStyle w:val="NoSpacing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Ova izmjena Pravilnika o unutarnjem ustrojstvu i načinu rada Dječjeg vrtića Bubamara Kalinovac stupa na snagu osmog dana od dana objave na oglasnoj ploči dječjeg vrtića</w:t>
      </w:r>
      <w:r w:rsidR="00E253E7">
        <w:rPr>
          <w:rFonts w:asciiTheme="majorHAnsi" w:hAnsiTheme="majorHAnsi"/>
        </w:rPr>
        <w:t>.</w:t>
      </w:r>
    </w:p>
    <w:p w:rsidR="006151BA" w:rsidRDefault="006151BA" w:rsidP="006151BA">
      <w:pPr>
        <w:pStyle w:val="NoSpacing"/>
        <w:rPr>
          <w:rFonts w:asciiTheme="majorHAnsi" w:hAnsiTheme="majorHAnsi"/>
        </w:rPr>
      </w:pPr>
    </w:p>
    <w:p w:rsidR="006151BA" w:rsidRDefault="006151BA" w:rsidP="006151BA">
      <w:pPr>
        <w:pStyle w:val="NoSpacing"/>
        <w:rPr>
          <w:rFonts w:asciiTheme="majorHAnsi" w:hAnsiTheme="majorHAnsi"/>
        </w:rPr>
      </w:pPr>
    </w:p>
    <w:p w:rsidR="006151BA" w:rsidRDefault="006151BA" w:rsidP="006151BA">
      <w:pPr>
        <w:pStyle w:val="NoSpacing"/>
        <w:rPr>
          <w:rFonts w:asciiTheme="majorHAnsi" w:hAnsiTheme="majorHAnsi"/>
        </w:rPr>
      </w:pPr>
    </w:p>
    <w:p w:rsidR="00E253E7" w:rsidRDefault="00E253E7" w:rsidP="006151BA">
      <w:pPr>
        <w:pStyle w:val="NoSpacing"/>
        <w:rPr>
          <w:rFonts w:asciiTheme="majorHAnsi" w:hAnsiTheme="majorHAnsi"/>
        </w:rPr>
      </w:pPr>
    </w:p>
    <w:p w:rsidR="006151BA" w:rsidRDefault="006151BA" w:rsidP="006151BA">
      <w:pPr>
        <w:pStyle w:val="NoSpacing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UPRAVNO VIJEĆE</w:t>
      </w:r>
    </w:p>
    <w:p w:rsidR="006151BA" w:rsidRDefault="006151BA" w:rsidP="006151BA">
      <w:pPr>
        <w:pStyle w:val="NoSpacing"/>
        <w:jc w:val="center"/>
        <w:rPr>
          <w:rFonts w:asciiTheme="majorHAnsi" w:hAnsiTheme="majorHAnsi"/>
          <w:b/>
        </w:rPr>
      </w:pPr>
    </w:p>
    <w:p w:rsidR="006151BA" w:rsidRDefault="006151BA" w:rsidP="006151BA">
      <w:pPr>
        <w:pStyle w:val="NoSpacing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DJEČJEG VRTIĆA BUBAMARA KALINOVAC</w:t>
      </w:r>
    </w:p>
    <w:p w:rsidR="006151BA" w:rsidRDefault="006151BA" w:rsidP="006151BA">
      <w:pPr>
        <w:pStyle w:val="NoSpacing"/>
        <w:jc w:val="center"/>
        <w:rPr>
          <w:rFonts w:asciiTheme="majorHAnsi" w:hAnsiTheme="majorHAnsi"/>
          <w:b/>
        </w:rPr>
      </w:pPr>
    </w:p>
    <w:p w:rsidR="006151BA" w:rsidRDefault="006151BA" w:rsidP="006151BA">
      <w:pPr>
        <w:pStyle w:val="NoSpacing"/>
        <w:jc w:val="center"/>
        <w:rPr>
          <w:rFonts w:asciiTheme="majorHAnsi" w:hAnsiTheme="majorHAnsi"/>
          <w:b/>
        </w:rPr>
      </w:pPr>
    </w:p>
    <w:p w:rsidR="006151BA" w:rsidRDefault="006151BA" w:rsidP="006151BA">
      <w:pPr>
        <w:pStyle w:val="NoSpacing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KLASA:601-02/17-01/</w:t>
      </w:r>
      <w:r w:rsidR="00E253E7">
        <w:rPr>
          <w:rFonts w:asciiTheme="majorHAnsi" w:hAnsiTheme="majorHAnsi"/>
          <w:b/>
        </w:rPr>
        <w:t>13</w:t>
      </w:r>
    </w:p>
    <w:p w:rsidR="00E253E7" w:rsidRDefault="00E253E7" w:rsidP="006151BA">
      <w:pPr>
        <w:pStyle w:val="NoSpacing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URBROJ:2137-69-17-2</w:t>
      </w:r>
    </w:p>
    <w:p w:rsidR="00E253E7" w:rsidRDefault="00E253E7" w:rsidP="006151BA">
      <w:pPr>
        <w:pStyle w:val="NoSpacing"/>
        <w:rPr>
          <w:rFonts w:asciiTheme="majorHAnsi" w:hAnsiTheme="majorHAnsi"/>
          <w:b/>
        </w:rPr>
      </w:pPr>
    </w:p>
    <w:p w:rsidR="00E253E7" w:rsidRDefault="00E253E7" w:rsidP="006151BA">
      <w:pPr>
        <w:pStyle w:val="NoSpacing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Kalinovac, 30. svibnja 2017. </w:t>
      </w:r>
    </w:p>
    <w:p w:rsidR="00E253E7" w:rsidRDefault="00E253E7" w:rsidP="006151BA">
      <w:pPr>
        <w:pStyle w:val="NoSpacing"/>
        <w:rPr>
          <w:rFonts w:asciiTheme="majorHAnsi" w:hAnsiTheme="majorHAnsi"/>
          <w:b/>
        </w:rPr>
      </w:pPr>
    </w:p>
    <w:p w:rsidR="00E253E7" w:rsidRDefault="00E253E7" w:rsidP="006151BA">
      <w:pPr>
        <w:pStyle w:val="NoSpacing"/>
        <w:rPr>
          <w:rFonts w:asciiTheme="majorHAnsi" w:hAnsiTheme="majorHAnsi"/>
          <w:b/>
        </w:rPr>
      </w:pPr>
    </w:p>
    <w:p w:rsidR="00E253E7" w:rsidRDefault="00E253E7" w:rsidP="006151BA">
      <w:pPr>
        <w:pStyle w:val="NoSpacing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                                                                                                    PREDSJEDNICA UPRAVNOG VIJEĆA:</w:t>
      </w:r>
    </w:p>
    <w:p w:rsidR="00E253E7" w:rsidRDefault="00E253E7" w:rsidP="006151BA">
      <w:pPr>
        <w:pStyle w:val="NoSpacing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                                                                                                                    </w:t>
      </w:r>
    </w:p>
    <w:p w:rsidR="00E253E7" w:rsidRDefault="00E253E7" w:rsidP="006151BA">
      <w:pPr>
        <w:pStyle w:val="NoSpacing"/>
        <w:rPr>
          <w:rFonts w:asciiTheme="majorHAnsi" w:hAnsiTheme="majorHAnsi"/>
          <w:b/>
        </w:rPr>
      </w:pPr>
    </w:p>
    <w:p w:rsidR="00E253E7" w:rsidRDefault="00E253E7" w:rsidP="006151BA">
      <w:pPr>
        <w:pStyle w:val="NoSpacing"/>
        <w:rPr>
          <w:rFonts w:asciiTheme="majorHAnsi" w:hAnsiTheme="majorHAnsi"/>
          <w:b/>
        </w:rPr>
      </w:pPr>
    </w:p>
    <w:p w:rsidR="00E253E7" w:rsidRDefault="00E253E7" w:rsidP="006151BA">
      <w:pPr>
        <w:pStyle w:val="NoSpacing"/>
        <w:rPr>
          <w:rFonts w:asciiTheme="majorHAnsi" w:hAnsiTheme="majorHAnsi"/>
          <w:b/>
        </w:rPr>
      </w:pPr>
    </w:p>
    <w:p w:rsidR="00E253E7" w:rsidRPr="006151BA" w:rsidRDefault="00E253E7" w:rsidP="006151BA">
      <w:pPr>
        <w:pStyle w:val="NoSpacing"/>
        <w:rPr>
          <w:rFonts w:asciiTheme="majorHAnsi" w:hAnsiTheme="majorHAnsi"/>
          <w:b/>
        </w:rPr>
      </w:pPr>
    </w:p>
    <w:sectPr w:rsidR="00E253E7" w:rsidRPr="006151BA" w:rsidSect="008A58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052C"/>
    <w:rsid w:val="0003461C"/>
    <w:rsid w:val="00062E44"/>
    <w:rsid w:val="000B210D"/>
    <w:rsid w:val="001101F8"/>
    <w:rsid w:val="00372A42"/>
    <w:rsid w:val="0049052C"/>
    <w:rsid w:val="005332C7"/>
    <w:rsid w:val="005C2D09"/>
    <w:rsid w:val="006151BA"/>
    <w:rsid w:val="008A58E0"/>
    <w:rsid w:val="008B3C95"/>
    <w:rsid w:val="009421F6"/>
    <w:rsid w:val="009E39F2"/>
    <w:rsid w:val="00AB0EA0"/>
    <w:rsid w:val="00D1343B"/>
    <w:rsid w:val="00E253E7"/>
    <w:rsid w:val="00F51318"/>
    <w:rsid w:val="00FA0FB8"/>
    <w:rsid w:val="00FC1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8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32C7"/>
    <w:pPr>
      <w:spacing w:after="0" w:line="240" w:lineRule="auto"/>
    </w:pPr>
  </w:style>
  <w:style w:type="table" w:styleId="TableGrid">
    <w:name w:val="Table Grid"/>
    <w:basedOn w:val="TableNormal"/>
    <w:uiPriority w:val="59"/>
    <w:rsid w:val="00AB0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332C7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AB0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Kalinovac</dc:creator>
  <cp:keywords/>
  <dc:description/>
  <cp:lastModifiedBy>Bubamara</cp:lastModifiedBy>
  <cp:revision>8</cp:revision>
  <cp:lastPrinted>2017-05-30T06:26:00Z</cp:lastPrinted>
  <dcterms:created xsi:type="dcterms:W3CDTF">2017-03-22T06:10:00Z</dcterms:created>
  <dcterms:modified xsi:type="dcterms:W3CDTF">2018-11-27T08:10:00Z</dcterms:modified>
</cp:coreProperties>
</file>